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18A49E" w14:textId="77777777" w:rsidR="00C76EC7" w:rsidRDefault="00C76EC7"/>
    <w:p w14:paraId="336FF327" w14:textId="77777777" w:rsidR="005B74D0" w:rsidRDefault="005B74D0"/>
    <w:p w14:paraId="68CFEA05" w14:textId="77777777" w:rsidR="005B74D0" w:rsidRDefault="005B74D0"/>
    <w:p w14:paraId="0B51AD44" w14:textId="15EE6BB7" w:rsidR="005B74D0" w:rsidRPr="00D97364" w:rsidRDefault="00563E40" w:rsidP="00AA28C5">
      <w:pPr>
        <w:pStyle w:val="PLATE-PaperTitle"/>
        <w:rPr>
          <w:sz w:val="20"/>
          <w:szCs w:val="20"/>
        </w:rPr>
      </w:pPr>
      <w:r w:rsidRPr="00563E40">
        <w:t>Qualifying and Quantifying the Reuse sector in Ireland</w:t>
      </w:r>
    </w:p>
    <w:p w14:paraId="3047DA8E" w14:textId="2E28ABE9" w:rsidR="00B21CF0" w:rsidRPr="00E96712" w:rsidRDefault="00A27681" w:rsidP="008A52BE">
      <w:pPr>
        <w:pStyle w:val="PLATE-Author"/>
        <w:rPr>
          <w:i/>
          <w:iCs/>
        </w:rPr>
      </w:pPr>
      <w:r>
        <w:t>Keelin Tobin</w:t>
      </w:r>
      <w:r w:rsidR="00AA28C5">
        <w:rPr>
          <w:i/>
          <w:iCs/>
          <w:vertAlign w:val="superscript"/>
        </w:rPr>
        <w:t>(a</w:t>
      </w:r>
      <w:r w:rsidR="00AC62F2" w:rsidRPr="00E96712">
        <w:rPr>
          <w:vertAlign w:val="superscript"/>
        </w:rPr>
        <w:t>)</w:t>
      </w:r>
      <w:r w:rsidR="00EB0280" w:rsidRPr="00E96712">
        <w:t xml:space="preserve">, </w:t>
      </w:r>
      <w:r>
        <w:t>D</w:t>
      </w:r>
      <w:r w:rsidR="00EB0280" w:rsidRPr="00E96712">
        <w:t>r</w:t>
      </w:r>
      <w:r>
        <w:t xml:space="preserve"> Colum Gibson</w:t>
      </w:r>
      <w:r w:rsidR="00AC62F2" w:rsidRPr="00E96712">
        <w:rPr>
          <w:vertAlign w:val="superscript"/>
        </w:rPr>
        <w:t>(b)</w:t>
      </w:r>
      <w:r w:rsidR="00AA28C5">
        <w:rPr>
          <w:i/>
          <w:iCs/>
        </w:rPr>
        <w:t xml:space="preserve">, </w:t>
      </w:r>
      <w:r>
        <w:t>Claire Downey</w:t>
      </w:r>
      <w:r w:rsidR="00AA28C5" w:rsidRPr="00E96712">
        <w:rPr>
          <w:vertAlign w:val="superscript"/>
        </w:rPr>
        <w:t>(</w:t>
      </w:r>
      <w:r>
        <w:rPr>
          <w:i/>
          <w:iCs/>
          <w:vertAlign w:val="superscript"/>
        </w:rPr>
        <w:t>c</w:t>
      </w:r>
      <w:r w:rsidR="00AA28C5" w:rsidRPr="00E96712">
        <w:rPr>
          <w:vertAlign w:val="superscript"/>
        </w:rPr>
        <w:t>)</w:t>
      </w:r>
      <w:r>
        <w:t>, Sarah Miller</w:t>
      </w:r>
      <w:r w:rsidRPr="00E96712">
        <w:rPr>
          <w:vertAlign w:val="superscript"/>
        </w:rPr>
        <w:t>(</w:t>
      </w:r>
      <w:r>
        <w:rPr>
          <w:vertAlign w:val="superscript"/>
        </w:rPr>
        <w:t>d</w:t>
      </w:r>
      <w:r w:rsidRPr="00A27681">
        <w:rPr>
          <w:vertAlign w:val="superscript"/>
        </w:rPr>
        <w:t>)</w:t>
      </w:r>
      <w:r>
        <w:t xml:space="preserve">, </w:t>
      </w:r>
      <w:r w:rsidRPr="00A27681">
        <w:t>Tadhg Coakley</w:t>
      </w:r>
      <w:r w:rsidRPr="00E96712">
        <w:rPr>
          <w:vertAlign w:val="superscript"/>
        </w:rPr>
        <w:t>(</w:t>
      </w:r>
      <w:r>
        <w:rPr>
          <w:vertAlign w:val="superscript"/>
        </w:rPr>
        <w:t>e</w:t>
      </w:r>
      <w:r w:rsidRPr="00E96712">
        <w:rPr>
          <w:vertAlign w:val="superscript"/>
        </w:rPr>
        <w:t>)</w:t>
      </w:r>
    </w:p>
    <w:p w14:paraId="4F9836F4" w14:textId="2733BFF2" w:rsidR="00B21CF0" w:rsidRPr="00CE10A6" w:rsidRDefault="00B21CF0" w:rsidP="00B21CF0">
      <w:pPr>
        <w:rPr>
          <w:rFonts w:ascii="Arial" w:hAnsi="Arial" w:cs="Arial"/>
          <w:sz w:val="18"/>
          <w:szCs w:val="18"/>
        </w:rPr>
      </w:pPr>
      <w:r w:rsidRPr="00CE10A6">
        <w:rPr>
          <w:rFonts w:ascii="Arial" w:hAnsi="Arial" w:cs="Arial"/>
          <w:sz w:val="18"/>
          <w:szCs w:val="18"/>
        </w:rPr>
        <w:t xml:space="preserve">a) </w:t>
      </w:r>
      <w:r w:rsidR="00A27681">
        <w:rPr>
          <w:rFonts w:ascii="Arial" w:hAnsi="Arial" w:cs="Arial"/>
          <w:sz w:val="18"/>
          <w:szCs w:val="18"/>
        </w:rPr>
        <w:t>Clean Technology Centre, Munster Technological University</w:t>
      </w:r>
      <w:r w:rsidR="00F0578E">
        <w:rPr>
          <w:rFonts w:ascii="Arial" w:hAnsi="Arial" w:cs="Arial"/>
          <w:sz w:val="18"/>
          <w:szCs w:val="18"/>
        </w:rPr>
        <w:t xml:space="preserve">, </w:t>
      </w:r>
      <w:r w:rsidR="00A27681">
        <w:rPr>
          <w:rFonts w:ascii="Arial" w:hAnsi="Arial" w:cs="Arial"/>
          <w:sz w:val="18"/>
          <w:szCs w:val="18"/>
        </w:rPr>
        <w:t>Cork</w:t>
      </w:r>
      <w:r w:rsidR="00F0578E">
        <w:rPr>
          <w:rFonts w:ascii="Arial" w:hAnsi="Arial" w:cs="Arial"/>
          <w:sz w:val="18"/>
          <w:szCs w:val="18"/>
        </w:rPr>
        <w:t xml:space="preserve">, </w:t>
      </w:r>
      <w:r w:rsidR="00A27681">
        <w:rPr>
          <w:rFonts w:ascii="Arial" w:hAnsi="Arial" w:cs="Arial"/>
          <w:sz w:val="18"/>
          <w:szCs w:val="18"/>
        </w:rPr>
        <w:t>Ireland</w:t>
      </w:r>
    </w:p>
    <w:p w14:paraId="1D80FF6A" w14:textId="2FA46F8B" w:rsidR="00B21CF0" w:rsidRDefault="00B21CF0" w:rsidP="00AC62F2">
      <w:pPr>
        <w:rPr>
          <w:rFonts w:ascii="Arial" w:hAnsi="Arial" w:cs="Arial"/>
          <w:sz w:val="18"/>
          <w:szCs w:val="18"/>
        </w:rPr>
      </w:pPr>
      <w:r w:rsidRPr="00CE10A6">
        <w:rPr>
          <w:rFonts w:ascii="Arial" w:hAnsi="Arial" w:cs="Arial"/>
          <w:sz w:val="18"/>
          <w:szCs w:val="18"/>
        </w:rPr>
        <w:t xml:space="preserve">b) </w:t>
      </w:r>
      <w:r w:rsidR="00A27681">
        <w:rPr>
          <w:rFonts w:ascii="Arial" w:hAnsi="Arial" w:cs="Arial"/>
          <w:sz w:val="18"/>
          <w:szCs w:val="18"/>
        </w:rPr>
        <w:t>Clean Technology Centre, Munster Technological University, Cork, Ireland</w:t>
      </w:r>
    </w:p>
    <w:p w14:paraId="4E642938" w14:textId="328BE9D8" w:rsidR="00A27681" w:rsidRDefault="00A27681" w:rsidP="00AC62F2">
      <w:pPr>
        <w:rPr>
          <w:rFonts w:ascii="Arial" w:hAnsi="Arial" w:cs="Arial"/>
          <w:sz w:val="18"/>
          <w:szCs w:val="18"/>
        </w:rPr>
      </w:pPr>
      <w:r>
        <w:rPr>
          <w:rFonts w:ascii="Arial" w:hAnsi="Arial" w:cs="Arial"/>
          <w:sz w:val="18"/>
          <w:szCs w:val="18"/>
        </w:rPr>
        <w:t>c) Community Resources Network Ireland, Dublin, Ireland</w:t>
      </w:r>
    </w:p>
    <w:p w14:paraId="3800C7E0" w14:textId="471E68D0" w:rsidR="00A27681" w:rsidRDefault="00A27681" w:rsidP="00AC62F2">
      <w:pPr>
        <w:rPr>
          <w:rFonts w:ascii="Arial" w:hAnsi="Arial" w:cs="Arial"/>
          <w:sz w:val="18"/>
          <w:szCs w:val="18"/>
        </w:rPr>
      </w:pPr>
      <w:r>
        <w:rPr>
          <w:rFonts w:ascii="Arial" w:hAnsi="Arial" w:cs="Arial"/>
          <w:sz w:val="18"/>
          <w:szCs w:val="18"/>
        </w:rPr>
        <w:t>d) The Rediscovery Centre, Dublin, Ireland</w:t>
      </w:r>
    </w:p>
    <w:p w14:paraId="21201F24" w14:textId="006110EC" w:rsidR="00A27681" w:rsidRPr="00AC62F2" w:rsidRDefault="00A27681" w:rsidP="00AC62F2">
      <w:pPr>
        <w:rPr>
          <w:rFonts w:ascii="Arial" w:hAnsi="Arial" w:cs="Arial"/>
          <w:sz w:val="18"/>
          <w:szCs w:val="18"/>
        </w:rPr>
      </w:pPr>
      <w:r>
        <w:rPr>
          <w:rFonts w:ascii="Arial" w:hAnsi="Arial" w:cs="Arial"/>
          <w:sz w:val="18"/>
          <w:szCs w:val="18"/>
        </w:rPr>
        <w:t xml:space="preserve">e) </w:t>
      </w:r>
      <w:r w:rsidR="001C1752">
        <w:rPr>
          <w:rFonts w:ascii="Arial" w:hAnsi="Arial" w:cs="Arial"/>
          <w:sz w:val="18"/>
          <w:szCs w:val="18"/>
        </w:rPr>
        <w:t xml:space="preserve">Environmental </w:t>
      </w:r>
      <w:r>
        <w:rPr>
          <w:rFonts w:ascii="Arial" w:hAnsi="Arial" w:cs="Arial"/>
          <w:sz w:val="18"/>
          <w:szCs w:val="18"/>
        </w:rPr>
        <w:t>Consultant, Cork, Ireland</w:t>
      </w:r>
    </w:p>
    <w:p w14:paraId="78D35800" w14:textId="34E32900" w:rsidR="00201F3D" w:rsidRPr="00CE10A6" w:rsidRDefault="00201F3D" w:rsidP="005B74D0">
      <w:pPr>
        <w:rPr>
          <w:rFonts w:ascii="Arial" w:hAnsi="Arial" w:cs="Arial"/>
          <w:sz w:val="18"/>
          <w:szCs w:val="18"/>
        </w:rPr>
      </w:pPr>
    </w:p>
    <w:p w14:paraId="5BA28385" w14:textId="77777777" w:rsidR="00CE10A6" w:rsidRPr="00CE10A6" w:rsidRDefault="00CE10A6" w:rsidP="005B74D0">
      <w:pPr>
        <w:rPr>
          <w:rFonts w:ascii="Arial" w:hAnsi="Arial" w:cs="Arial"/>
          <w:sz w:val="18"/>
          <w:szCs w:val="18"/>
        </w:rPr>
      </w:pPr>
    </w:p>
    <w:p w14:paraId="049C69B9" w14:textId="0239BB66" w:rsidR="00CE10A6" w:rsidRPr="00CE10A6" w:rsidRDefault="00CE10A6" w:rsidP="00CE10A6">
      <w:pPr>
        <w:rPr>
          <w:rFonts w:ascii="Arial" w:hAnsi="Arial" w:cs="Arial"/>
          <w:sz w:val="20"/>
          <w:szCs w:val="20"/>
        </w:rPr>
      </w:pPr>
      <w:r w:rsidRPr="00CE10A6">
        <w:rPr>
          <w:rFonts w:ascii="Arial" w:hAnsi="Arial" w:cs="Arial"/>
          <w:b/>
          <w:bCs/>
          <w:sz w:val="20"/>
          <w:szCs w:val="20"/>
        </w:rPr>
        <w:t>Keywords</w:t>
      </w:r>
      <w:r w:rsidRPr="00CE10A6">
        <w:rPr>
          <w:rFonts w:ascii="Arial" w:hAnsi="Arial" w:cs="Arial"/>
          <w:sz w:val="20"/>
          <w:szCs w:val="20"/>
        </w:rPr>
        <w:t>:</w:t>
      </w:r>
      <w:r w:rsidR="001D4ED7">
        <w:rPr>
          <w:rFonts w:ascii="Arial" w:hAnsi="Arial" w:cs="Arial"/>
          <w:sz w:val="20"/>
          <w:szCs w:val="20"/>
        </w:rPr>
        <w:t xml:space="preserve"> </w:t>
      </w:r>
      <w:r w:rsidR="001D4ED7" w:rsidRPr="001D4ED7">
        <w:rPr>
          <w:rFonts w:ascii="Arial" w:hAnsi="Arial" w:cs="Arial"/>
          <w:sz w:val="20"/>
          <w:szCs w:val="20"/>
        </w:rPr>
        <w:t>reuse</w:t>
      </w:r>
      <w:r w:rsidR="001D4ED7">
        <w:rPr>
          <w:rFonts w:ascii="Arial" w:hAnsi="Arial" w:cs="Arial"/>
          <w:sz w:val="20"/>
          <w:szCs w:val="20"/>
        </w:rPr>
        <w:t>;</w:t>
      </w:r>
      <w:r w:rsidR="001D4ED7" w:rsidRPr="001D4ED7">
        <w:rPr>
          <w:rFonts w:ascii="Arial" w:hAnsi="Arial" w:cs="Arial"/>
          <w:sz w:val="20"/>
          <w:szCs w:val="20"/>
        </w:rPr>
        <w:t xml:space="preserve"> circular economy</w:t>
      </w:r>
      <w:r w:rsidR="001D4ED7">
        <w:rPr>
          <w:rFonts w:ascii="Arial" w:hAnsi="Arial" w:cs="Arial"/>
          <w:sz w:val="20"/>
          <w:szCs w:val="20"/>
        </w:rPr>
        <w:t>;</w:t>
      </w:r>
      <w:r w:rsidR="001D4ED7" w:rsidRPr="001D4ED7">
        <w:rPr>
          <w:rFonts w:ascii="Arial" w:hAnsi="Arial" w:cs="Arial"/>
          <w:sz w:val="20"/>
          <w:szCs w:val="20"/>
        </w:rPr>
        <w:t xml:space="preserve"> second</w:t>
      </w:r>
      <w:r w:rsidR="001C1752">
        <w:rPr>
          <w:rFonts w:ascii="Arial" w:hAnsi="Arial" w:cs="Arial"/>
          <w:sz w:val="20"/>
          <w:szCs w:val="20"/>
        </w:rPr>
        <w:t>-</w:t>
      </w:r>
      <w:r w:rsidR="001D4ED7" w:rsidRPr="001D4ED7">
        <w:rPr>
          <w:rFonts w:ascii="Arial" w:hAnsi="Arial" w:cs="Arial"/>
          <w:sz w:val="20"/>
          <w:szCs w:val="20"/>
        </w:rPr>
        <w:t>hand goods</w:t>
      </w:r>
      <w:r w:rsidR="001D4ED7">
        <w:rPr>
          <w:rFonts w:ascii="Arial" w:hAnsi="Arial" w:cs="Arial"/>
          <w:sz w:val="20"/>
          <w:szCs w:val="20"/>
        </w:rPr>
        <w:t>;</w:t>
      </w:r>
      <w:r w:rsidR="001D4ED7" w:rsidRPr="001D4ED7">
        <w:rPr>
          <w:rFonts w:ascii="Arial" w:hAnsi="Arial" w:cs="Arial"/>
          <w:sz w:val="20"/>
          <w:szCs w:val="20"/>
        </w:rPr>
        <w:t xml:space="preserve"> waste prevention</w:t>
      </w:r>
      <w:r w:rsidR="001D4ED7">
        <w:rPr>
          <w:rFonts w:ascii="Arial" w:hAnsi="Arial" w:cs="Arial"/>
          <w:sz w:val="20"/>
          <w:szCs w:val="20"/>
        </w:rPr>
        <w:t>;</w:t>
      </w:r>
      <w:r w:rsidR="001D4ED7" w:rsidRPr="001D4ED7">
        <w:rPr>
          <w:rFonts w:ascii="Arial" w:hAnsi="Arial" w:cs="Arial"/>
          <w:sz w:val="20"/>
          <w:szCs w:val="20"/>
        </w:rPr>
        <w:t xml:space="preserve"> material flows</w:t>
      </w:r>
      <w:r w:rsidR="00574CE2">
        <w:rPr>
          <w:rFonts w:ascii="Arial" w:hAnsi="Arial" w:cs="Arial"/>
          <w:sz w:val="20"/>
          <w:szCs w:val="20"/>
        </w:rPr>
        <w:t>, quantification</w:t>
      </w:r>
      <w:r w:rsidR="001D4ED7">
        <w:rPr>
          <w:rFonts w:ascii="Arial" w:hAnsi="Arial" w:cs="Arial"/>
          <w:sz w:val="20"/>
          <w:szCs w:val="20"/>
        </w:rPr>
        <w:t>.</w:t>
      </w:r>
    </w:p>
    <w:p w14:paraId="0A6628E1" w14:textId="0518D33E" w:rsidR="00F0578E" w:rsidRPr="001A763E" w:rsidRDefault="00201F3D" w:rsidP="00F0578E">
      <w:pPr>
        <w:spacing w:before="240"/>
        <w:jc w:val="both"/>
        <w:rPr>
          <w:rStyle w:val="PLATE-AbstractZchn"/>
          <w:rFonts w:cs="Arial"/>
        </w:rPr>
      </w:pPr>
      <w:r w:rsidRPr="00C76EC7">
        <w:rPr>
          <w:rFonts w:ascii="Arial" w:hAnsi="Arial" w:cs="Arial"/>
          <w:b/>
          <w:bCs/>
          <w:sz w:val="20"/>
          <w:szCs w:val="20"/>
        </w:rPr>
        <w:t>Abstract</w:t>
      </w:r>
      <w:r w:rsidR="00C76EC7" w:rsidRPr="00F0578E">
        <w:rPr>
          <w:rStyle w:val="PLATE-AbstractZchn"/>
        </w:rPr>
        <w:t>:</w:t>
      </w:r>
      <w:r w:rsidR="001A763E">
        <w:rPr>
          <w:rStyle w:val="PLATE-AbstractZchn"/>
        </w:rPr>
        <w:t xml:space="preserve"> </w:t>
      </w:r>
      <w:r w:rsidR="00574CE2" w:rsidRPr="00B10038">
        <w:rPr>
          <w:rFonts w:ascii="Arial" w:hAnsi="Arial" w:cs="Arial"/>
          <w:sz w:val="20"/>
          <w:szCs w:val="20"/>
        </w:rPr>
        <w:t xml:space="preserve">Reuse involves taking a product that someone is finished with and reusing it for the same purpose it was used for before. </w:t>
      </w:r>
      <w:r w:rsidR="00B10038" w:rsidRPr="00B10038">
        <w:rPr>
          <w:rFonts w:ascii="Arial" w:hAnsi="Arial" w:cs="Arial"/>
          <w:sz w:val="20"/>
          <w:szCs w:val="20"/>
        </w:rPr>
        <w:t xml:space="preserve">The Q2Reuse research project </w:t>
      </w:r>
      <w:r w:rsidR="0013569C" w:rsidRPr="0013569C">
        <w:rPr>
          <w:rFonts w:ascii="Arial" w:hAnsi="Arial" w:cs="Arial"/>
          <w:sz w:val="20"/>
          <w:szCs w:val="20"/>
        </w:rPr>
        <w:t xml:space="preserve">(2019-2021) </w:t>
      </w:r>
      <w:r w:rsidR="00726AEF">
        <w:rPr>
          <w:rFonts w:ascii="Arial" w:hAnsi="Arial" w:cs="Arial"/>
          <w:sz w:val="20"/>
          <w:szCs w:val="20"/>
        </w:rPr>
        <w:t>investigate</w:t>
      </w:r>
      <w:r w:rsidR="0032618C">
        <w:rPr>
          <w:rFonts w:ascii="Arial" w:hAnsi="Arial" w:cs="Arial"/>
          <w:sz w:val="20"/>
          <w:szCs w:val="20"/>
        </w:rPr>
        <w:t>s</w:t>
      </w:r>
      <w:r w:rsidR="00B10038" w:rsidRPr="00B10038">
        <w:rPr>
          <w:rFonts w:ascii="Arial" w:hAnsi="Arial" w:cs="Arial"/>
          <w:sz w:val="20"/>
          <w:szCs w:val="20"/>
        </w:rPr>
        <w:t xml:space="preserve"> methodologies to assess and measure the Irish reuse sector</w:t>
      </w:r>
      <w:r w:rsidR="0013569C">
        <w:rPr>
          <w:rFonts w:ascii="Arial" w:hAnsi="Arial" w:cs="Arial"/>
          <w:sz w:val="20"/>
          <w:szCs w:val="20"/>
        </w:rPr>
        <w:t xml:space="preserve"> </w:t>
      </w:r>
      <w:r w:rsidR="0013569C" w:rsidRPr="0013569C">
        <w:rPr>
          <w:rFonts w:ascii="Arial" w:hAnsi="Arial" w:cs="Arial"/>
          <w:sz w:val="20"/>
          <w:szCs w:val="20"/>
        </w:rPr>
        <w:t>– a future requirement for EU Member States</w:t>
      </w:r>
      <w:r w:rsidR="00B10038" w:rsidRPr="00B10038">
        <w:rPr>
          <w:rFonts w:ascii="Arial" w:hAnsi="Arial" w:cs="Arial"/>
          <w:sz w:val="20"/>
          <w:szCs w:val="20"/>
        </w:rPr>
        <w:t xml:space="preserve">. </w:t>
      </w:r>
      <w:r w:rsidR="00D45C0C">
        <w:rPr>
          <w:rFonts w:ascii="Arial" w:hAnsi="Arial" w:cs="Arial"/>
          <w:sz w:val="20"/>
          <w:szCs w:val="20"/>
        </w:rPr>
        <w:t>A</w:t>
      </w:r>
      <w:r w:rsidR="00726AEF">
        <w:rPr>
          <w:rFonts w:ascii="Arial" w:hAnsi="Arial" w:cs="Arial"/>
          <w:sz w:val="20"/>
          <w:szCs w:val="20"/>
        </w:rPr>
        <w:t xml:space="preserve"> </w:t>
      </w:r>
      <w:r w:rsidR="00726AEF" w:rsidRPr="00726AEF">
        <w:rPr>
          <w:rFonts w:ascii="Arial" w:hAnsi="Arial" w:cs="Arial"/>
          <w:sz w:val="20"/>
          <w:szCs w:val="20"/>
        </w:rPr>
        <w:t xml:space="preserve">systematic review of the reuse landscape </w:t>
      </w:r>
      <w:r w:rsidR="0013569C">
        <w:rPr>
          <w:rFonts w:ascii="Arial" w:hAnsi="Arial" w:cs="Arial"/>
          <w:sz w:val="20"/>
          <w:szCs w:val="20"/>
        </w:rPr>
        <w:t xml:space="preserve">in Ireland </w:t>
      </w:r>
      <w:r w:rsidR="00726AEF">
        <w:rPr>
          <w:rFonts w:ascii="Arial" w:hAnsi="Arial" w:cs="Arial"/>
          <w:sz w:val="20"/>
          <w:szCs w:val="20"/>
        </w:rPr>
        <w:t xml:space="preserve">was undertaken, </w:t>
      </w:r>
      <w:r w:rsidR="00726AEF" w:rsidRPr="00726AEF">
        <w:rPr>
          <w:rFonts w:ascii="Arial" w:hAnsi="Arial" w:cs="Arial"/>
          <w:sz w:val="20"/>
          <w:szCs w:val="20"/>
        </w:rPr>
        <w:t xml:space="preserve">providing insights into how the sector can be </w:t>
      </w:r>
      <w:r w:rsidR="0013569C">
        <w:rPr>
          <w:rFonts w:ascii="Arial" w:hAnsi="Arial" w:cs="Arial"/>
          <w:sz w:val="20"/>
          <w:szCs w:val="20"/>
        </w:rPr>
        <w:t xml:space="preserve">quantified, </w:t>
      </w:r>
      <w:r w:rsidR="00726AEF" w:rsidRPr="00726AEF">
        <w:rPr>
          <w:rFonts w:ascii="Arial" w:hAnsi="Arial" w:cs="Arial"/>
          <w:sz w:val="20"/>
          <w:szCs w:val="20"/>
        </w:rPr>
        <w:t>developed</w:t>
      </w:r>
      <w:r w:rsidR="00D45C0C">
        <w:rPr>
          <w:rFonts w:ascii="Arial" w:hAnsi="Arial" w:cs="Arial"/>
          <w:sz w:val="20"/>
          <w:szCs w:val="20"/>
        </w:rPr>
        <w:t xml:space="preserve"> and compared to other EU Member States</w:t>
      </w:r>
      <w:r w:rsidR="00726AEF">
        <w:rPr>
          <w:rFonts w:ascii="Arial" w:hAnsi="Arial" w:cs="Arial"/>
          <w:sz w:val="20"/>
          <w:szCs w:val="20"/>
        </w:rPr>
        <w:t xml:space="preserve">. </w:t>
      </w:r>
      <w:r w:rsidR="00B10038" w:rsidRPr="00B10038">
        <w:rPr>
          <w:rFonts w:ascii="Arial" w:hAnsi="Arial" w:cs="Arial"/>
          <w:sz w:val="20"/>
          <w:szCs w:val="20"/>
        </w:rPr>
        <w:t xml:space="preserve">Available literature on eight </w:t>
      </w:r>
      <w:r w:rsidR="0013569C">
        <w:rPr>
          <w:rFonts w:ascii="Arial" w:hAnsi="Arial" w:cs="Arial"/>
          <w:sz w:val="20"/>
          <w:szCs w:val="20"/>
        </w:rPr>
        <w:t>other</w:t>
      </w:r>
      <w:r w:rsidR="00B10038" w:rsidRPr="00B10038">
        <w:rPr>
          <w:rFonts w:ascii="Arial" w:hAnsi="Arial" w:cs="Arial"/>
          <w:sz w:val="20"/>
          <w:szCs w:val="20"/>
        </w:rPr>
        <w:t xml:space="preserve"> regions was </w:t>
      </w:r>
      <w:r w:rsidR="0032618C">
        <w:rPr>
          <w:rFonts w:ascii="Arial" w:hAnsi="Arial" w:cs="Arial"/>
          <w:sz w:val="20"/>
          <w:szCs w:val="20"/>
        </w:rPr>
        <w:t xml:space="preserve">first </w:t>
      </w:r>
      <w:r w:rsidR="00B10038" w:rsidRPr="00107894">
        <w:rPr>
          <w:rFonts w:ascii="Arial" w:hAnsi="Arial" w:cs="Arial"/>
          <w:sz w:val="20"/>
          <w:szCs w:val="20"/>
        </w:rPr>
        <w:t xml:space="preserve">analysed </w:t>
      </w:r>
      <w:r w:rsidR="00B10038" w:rsidRPr="00B10038">
        <w:rPr>
          <w:rFonts w:ascii="Arial" w:hAnsi="Arial" w:cs="Arial"/>
          <w:sz w:val="20"/>
          <w:szCs w:val="20"/>
        </w:rPr>
        <w:t xml:space="preserve">and combined with personal </w:t>
      </w:r>
      <w:r w:rsidR="005F61FB">
        <w:rPr>
          <w:rFonts w:ascii="Arial" w:hAnsi="Arial" w:cs="Arial"/>
          <w:sz w:val="20"/>
          <w:szCs w:val="20"/>
        </w:rPr>
        <w:t>communication</w:t>
      </w:r>
      <w:r w:rsidR="00B10038" w:rsidRPr="00B10038">
        <w:rPr>
          <w:rFonts w:ascii="Arial" w:hAnsi="Arial" w:cs="Arial"/>
          <w:sz w:val="20"/>
          <w:szCs w:val="20"/>
        </w:rPr>
        <w:t xml:space="preserve"> to determine an overview of good practices in other countries, drawing lessons for Ireland, and identifying gaps in the information that </w:t>
      </w:r>
      <w:r w:rsidR="0013569C">
        <w:rPr>
          <w:rFonts w:ascii="Arial" w:hAnsi="Arial" w:cs="Arial"/>
          <w:sz w:val="20"/>
          <w:szCs w:val="20"/>
        </w:rPr>
        <w:t xml:space="preserve">was </w:t>
      </w:r>
      <w:r w:rsidR="00B10038" w:rsidRPr="00B10038">
        <w:rPr>
          <w:rFonts w:ascii="Arial" w:hAnsi="Arial" w:cs="Arial"/>
          <w:sz w:val="20"/>
          <w:szCs w:val="20"/>
        </w:rPr>
        <w:t>need</w:t>
      </w:r>
      <w:r w:rsidR="0013569C">
        <w:rPr>
          <w:rFonts w:ascii="Arial" w:hAnsi="Arial" w:cs="Arial"/>
          <w:sz w:val="20"/>
          <w:szCs w:val="20"/>
        </w:rPr>
        <w:t>ed</w:t>
      </w:r>
      <w:r w:rsidR="00B10038" w:rsidRPr="00B10038">
        <w:rPr>
          <w:rFonts w:ascii="Arial" w:hAnsi="Arial" w:cs="Arial"/>
          <w:sz w:val="20"/>
          <w:szCs w:val="20"/>
        </w:rPr>
        <w:t xml:space="preserve"> to be gathered. Together with reuse practitioners in Ireland, the research team </w:t>
      </w:r>
      <w:r w:rsidR="0013569C">
        <w:rPr>
          <w:rFonts w:ascii="Arial" w:hAnsi="Arial" w:cs="Arial"/>
          <w:sz w:val="20"/>
          <w:szCs w:val="20"/>
        </w:rPr>
        <w:t>then</w:t>
      </w:r>
      <w:r w:rsidR="00B10038" w:rsidRPr="00B10038">
        <w:rPr>
          <w:rFonts w:ascii="Arial" w:hAnsi="Arial" w:cs="Arial"/>
          <w:sz w:val="20"/>
          <w:szCs w:val="20"/>
        </w:rPr>
        <w:t xml:space="preserve"> developed methodologies for the qualitative as well as quantitative assessment of the sector</w:t>
      </w:r>
      <w:r w:rsidR="005F61FB">
        <w:rPr>
          <w:rFonts w:ascii="Arial" w:hAnsi="Arial" w:cs="Arial"/>
          <w:sz w:val="20"/>
          <w:szCs w:val="20"/>
        </w:rPr>
        <w:t xml:space="preserve">. </w:t>
      </w:r>
      <w:r w:rsidR="00B10038" w:rsidRPr="00B10038">
        <w:rPr>
          <w:rFonts w:ascii="Arial" w:hAnsi="Arial" w:cs="Arial"/>
          <w:sz w:val="20"/>
          <w:szCs w:val="20"/>
        </w:rPr>
        <w:t xml:space="preserve">Through small-scale piloting, the methodologies </w:t>
      </w:r>
      <w:r w:rsidR="00FC1001">
        <w:rPr>
          <w:rFonts w:ascii="Arial" w:hAnsi="Arial" w:cs="Arial"/>
          <w:sz w:val="20"/>
          <w:szCs w:val="20"/>
        </w:rPr>
        <w:t>have</w:t>
      </w:r>
      <w:r w:rsidR="00B10038" w:rsidRPr="00B10038">
        <w:rPr>
          <w:rFonts w:ascii="Arial" w:hAnsi="Arial" w:cs="Arial"/>
          <w:sz w:val="20"/>
          <w:szCs w:val="20"/>
        </w:rPr>
        <w:t xml:space="preserve"> be</w:t>
      </w:r>
      <w:r w:rsidR="00FC1001">
        <w:rPr>
          <w:rFonts w:ascii="Arial" w:hAnsi="Arial" w:cs="Arial"/>
          <w:sz w:val="20"/>
          <w:szCs w:val="20"/>
        </w:rPr>
        <w:t>en</w:t>
      </w:r>
      <w:r w:rsidR="00B10038" w:rsidRPr="00B10038">
        <w:rPr>
          <w:rFonts w:ascii="Arial" w:hAnsi="Arial" w:cs="Arial"/>
          <w:sz w:val="20"/>
          <w:szCs w:val="20"/>
        </w:rPr>
        <w:t xml:space="preserve"> refined an</w:t>
      </w:r>
      <w:r w:rsidR="00FC1001">
        <w:rPr>
          <w:rFonts w:ascii="Arial" w:hAnsi="Arial" w:cs="Arial"/>
          <w:sz w:val="20"/>
          <w:szCs w:val="20"/>
        </w:rPr>
        <w:t>d</w:t>
      </w:r>
      <w:r w:rsidR="00B10038" w:rsidRPr="00B10038">
        <w:rPr>
          <w:rFonts w:ascii="Arial" w:hAnsi="Arial" w:cs="Arial"/>
          <w:sz w:val="20"/>
          <w:szCs w:val="20"/>
        </w:rPr>
        <w:t xml:space="preserve"> barriers to data gathering identified. </w:t>
      </w:r>
      <w:r w:rsidR="00D45C0C">
        <w:rPr>
          <w:rFonts w:ascii="Arial" w:hAnsi="Arial" w:cs="Arial"/>
          <w:sz w:val="20"/>
          <w:szCs w:val="20"/>
        </w:rPr>
        <w:t xml:space="preserve">This paper details the products that </w:t>
      </w:r>
      <w:r w:rsidR="0032618C">
        <w:rPr>
          <w:rFonts w:ascii="Arial" w:hAnsi="Arial" w:cs="Arial"/>
          <w:sz w:val="20"/>
          <w:szCs w:val="20"/>
        </w:rPr>
        <w:t>are</w:t>
      </w:r>
      <w:r w:rsidR="00D45C0C">
        <w:rPr>
          <w:rFonts w:ascii="Arial" w:hAnsi="Arial" w:cs="Arial"/>
          <w:sz w:val="20"/>
          <w:szCs w:val="20"/>
        </w:rPr>
        <w:t xml:space="preserve"> included, the </w:t>
      </w:r>
      <w:r w:rsidR="0032618C">
        <w:rPr>
          <w:rFonts w:ascii="Arial" w:hAnsi="Arial" w:cs="Arial"/>
          <w:sz w:val="20"/>
          <w:szCs w:val="20"/>
        </w:rPr>
        <w:t xml:space="preserve">criteria for inclusion and the specificity of </w:t>
      </w:r>
      <w:r w:rsidR="00F44D40">
        <w:rPr>
          <w:rFonts w:ascii="Arial" w:hAnsi="Arial" w:cs="Arial"/>
          <w:sz w:val="20"/>
          <w:szCs w:val="20"/>
        </w:rPr>
        <w:t xml:space="preserve">the </w:t>
      </w:r>
      <w:r w:rsidR="0032618C">
        <w:rPr>
          <w:rFonts w:ascii="Arial" w:hAnsi="Arial" w:cs="Arial"/>
          <w:sz w:val="20"/>
          <w:szCs w:val="20"/>
        </w:rPr>
        <w:t xml:space="preserve">Irish context. </w:t>
      </w:r>
      <w:r w:rsidR="00B10038" w:rsidRPr="00B10038">
        <w:rPr>
          <w:rFonts w:ascii="Arial" w:hAnsi="Arial" w:cs="Arial"/>
          <w:sz w:val="20"/>
          <w:szCs w:val="20"/>
        </w:rPr>
        <w:t xml:space="preserve">The project </w:t>
      </w:r>
      <w:r w:rsidR="00FC1001">
        <w:rPr>
          <w:rFonts w:ascii="Arial" w:hAnsi="Arial" w:cs="Arial"/>
          <w:sz w:val="20"/>
          <w:szCs w:val="20"/>
        </w:rPr>
        <w:t>has</w:t>
      </w:r>
      <w:r w:rsidR="00B10038" w:rsidRPr="00B10038">
        <w:rPr>
          <w:rFonts w:ascii="Arial" w:hAnsi="Arial" w:cs="Arial"/>
          <w:sz w:val="20"/>
          <w:szCs w:val="20"/>
        </w:rPr>
        <w:t xml:space="preserve"> test</w:t>
      </w:r>
      <w:r w:rsidR="00FC1001">
        <w:rPr>
          <w:rFonts w:ascii="Arial" w:hAnsi="Arial" w:cs="Arial"/>
          <w:sz w:val="20"/>
          <w:szCs w:val="20"/>
        </w:rPr>
        <w:t>ed</w:t>
      </w:r>
      <w:r w:rsidR="00B10038" w:rsidRPr="00B10038">
        <w:rPr>
          <w:rFonts w:ascii="Arial" w:hAnsi="Arial" w:cs="Arial"/>
          <w:sz w:val="20"/>
          <w:szCs w:val="20"/>
        </w:rPr>
        <w:t xml:space="preserve"> the capability of the Irish reuse sector to supply necessary data and inform </w:t>
      </w:r>
      <w:r w:rsidR="00F21A45">
        <w:rPr>
          <w:rFonts w:ascii="Arial" w:hAnsi="Arial" w:cs="Arial"/>
          <w:sz w:val="20"/>
          <w:szCs w:val="20"/>
        </w:rPr>
        <w:t xml:space="preserve">Irish </w:t>
      </w:r>
      <w:r w:rsidR="00B10038" w:rsidRPr="00B10038">
        <w:rPr>
          <w:rFonts w:ascii="Arial" w:hAnsi="Arial" w:cs="Arial"/>
          <w:sz w:val="20"/>
          <w:szCs w:val="20"/>
        </w:rPr>
        <w:t>policy makers on required supports to the sector.</w:t>
      </w:r>
      <w:r w:rsidR="00FC1001">
        <w:rPr>
          <w:rFonts w:ascii="Arial" w:hAnsi="Arial" w:cs="Arial"/>
          <w:sz w:val="20"/>
          <w:szCs w:val="20"/>
        </w:rPr>
        <w:t xml:space="preserve"> By </w:t>
      </w:r>
      <w:r w:rsidR="00B10038" w:rsidRPr="00B10038">
        <w:rPr>
          <w:rFonts w:ascii="Arial" w:hAnsi="Arial" w:cs="Arial"/>
          <w:sz w:val="20"/>
          <w:szCs w:val="20"/>
        </w:rPr>
        <w:t xml:space="preserve">developing </w:t>
      </w:r>
      <w:r w:rsidR="006C39DA">
        <w:rPr>
          <w:rFonts w:ascii="Arial" w:hAnsi="Arial" w:cs="Arial"/>
          <w:sz w:val="20"/>
          <w:szCs w:val="20"/>
        </w:rPr>
        <w:t>a national quantification</w:t>
      </w:r>
      <w:r w:rsidR="00D45C0C">
        <w:rPr>
          <w:rFonts w:ascii="Arial" w:hAnsi="Arial" w:cs="Arial"/>
          <w:sz w:val="20"/>
          <w:szCs w:val="20"/>
        </w:rPr>
        <w:t xml:space="preserve"> </w:t>
      </w:r>
      <w:r w:rsidR="00B10038" w:rsidRPr="00B10038">
        <w:rPr>
          <w:rFonts w:ascii="Arial" w:hAnsi="Arial" w:cs="Arial"/>
          <w:sz w:val="20"/>
          <w:szCs w:val="20"/>
        </w:rPr>
        <w:t>methodolog</w:t>
      </w:r>
      <w:r w:rsidR="006C39DA">
        <w:rPr>
          <w:rFonts w:ascii="Arial" w:hAnsi="Arial" w:cs="Arial"/>
          <w:sz w:val="20"/>
          <w:szCs w:val="20"/>
        </w:rPr>
        <w:t>y</w:t>
      </w:r>
      <w:r w:rsidR="00B10038" w:rsidRPr="00B10038">
        <w:rPr>
          <w:rFonts w:ascii="Arial" w:hAnsi="Arial" w:cs="Arial"/>
          <w:sz w:val="20"/>
          <w:szCs w:val="20"/>
        </w:rPr>
        <w:t xml:space="preserve"> for the assessment of the sector, this research will provide policy makers, stakeholders and practitioners with a crucial overview of the no</w:t>
      </w:r>
      <w:r w:rsidR="00601374">
        <w:rPr>
          <w:rFonts w:ascii="Arial" w:hAnsi="Arial" w:cs="Arial"/>
          <w:sz w:val="20"/>
          <w:szCs w:val="20"/>
        </w:rPr>
        <w:t xml:space="preserve">n-waste reuse sector in </w:t>
      </w:r>
      <w:r w:rsidR="00601374">
        <w:rPr>
          <w:rFonts w:ascii="Arial" w:hAnsi="Arial" w:cs="Arial"/>
          <w:sz w:val="20"/>
          <w:szCs w:val="20"/>
        </w:rPr>
        <w:t>Ireland;</w:t>
      </w:r>
      <w:r w:rsidR="00133D3E">
        <w:rPr>
          <w:rFonts w:ascii="Arial" w:hAnsi="Arial" w:cs="Arial"/>
          <w:sz w:val="20"/>
          <w:szCs w:val="20"/>
        </w:rPr>
        <w:t xml:space="preserve"> </w:t>
      </w:r>
      <w:r w:rsidR="00B10038" w:rsidRPr="00B10038">
        <w:rPr>
          <w:rFonts w:ascii="Arial" w:hAnsi="Arial" w:cs="Arial"/>
          <w:sz w:val="20"/>
          <w:szCs w:val="20"/>
        </w:rPr>
        <w:t xml:space="preserve">vital </w:t>
      </w:r>
      <w:r w:rsidR="00B10038" w:rsidRPr="00B10038">
        <w:rPr>
          <w:rFonts w:ascii="Arial" w:hAnsi="Arial" w:cs="Arial"/>
          <w:sz w:val="20"/>
          <w:szCs w:val="20"/>
        </w:rPr>
        <w:t xml:space="preserve">information as Ireland and the EU move to implement reuse targets </w:t>
      </w:r>
      <w:r w:rsidR="0013569C">
        <w:rPr>
          <w:rFonts w:ascii="Arial" w:hAnsi="Arial" w:cs="Arial"/>
          <w:sz w:val="20"/>
          <w:szCs w:val="20"/>
        </w:rPr>
        <w:t xml:space="preserve">supporting reuse to </w:t>
      </w:r>
      <w:r w:rsidR="00B10038" w:rsidRPr="00B10038">
        <w:rPr>
          <w:rFonts w:ascii="Arial" w:hAnsi="Arial" w:cs="Arial"/>
          <w:sz w:val="20"/>
          <w:szCs w:val="20"/>
        </w:rPr>
        <w:t>its place as an essential climate action</w:t>
      </w:r>
      <w:r w:rsidR="00D45C0C">
        <w:rPr>
          <w:rFonts w:ascii="Arial" w:hAnsi="Arial" w:cs="Arial"/>
          <w:sz w:val="20"/>
          <w:szCs w:val="20"/>
        </w:rPr>
        <w:t xml:space="preserve"> in </w:t>
      </w:r>
      <w:r w:rsidR="00D45C0C" w:rsidRPr="00C067BB">
        <w:rPr>
          <w:rFonts w:ascii="Arial" w:hAnsi="Arial" w:cs="Arial"/>
          <w:sz w:val="20"/>
          <w:szCs w:val="20"/>
        </w:rPr>
        <w:t>the</w:t>
      </w:r>
      <w:r w:rsidR="00B10038" w:rsidRPr="00C067BB">
        <w:rPr>
          <w:rFonts w:ascii="Arial" w:hAnsi="Arial" w:cs="Arial"/>
          <w:sz w:val="20"/>
          <w:szCs w:val="20"/>
        </w:rPr>
        <w:t xml:space="preserve"> </w:t>
      </w:r>
      <w:r w:rsidR="00C067BB">
        <w:rPr>
          <w:rFonts w:ascii="Arial" w:hAnsi="Arial" w:cs="Arial"/>
          <w:sz w:val="20"/>
          <w:szCs w:val="20"/>
        </w:rPr>
        <w:t>c</w:t>
      </w:r>
      <w:r w:rsidR="00B10038" w:rsidRPr="00C067BB">
        <w:rPr>
          <w:rFonts w:ascii="Arial" w:hAnsi="Arial" w:cs="Arial"/>
          <w:sz w:val="20"/>
          <w:szCs w:val="20"/>
        </w:rPr>
        <w:t xml:space="preserve">ircular </w:t>
      </w:r>
      <w:r w:rsidR="00C067BB">
        <w:rPr>
          <w:rFonts w:ascii="Arial" w:hAnsi="Arial" w:cs="Arial"/>
          <w:sz w:val="20"/>
          <w:szCs w:val="20"/>
        </w:rPr>
        <w:t>e</w:t>
      </w:r>
      <w:r w:rsidR="00B10038" w:rsidRPr="00C067BB">
        <w:rPr>
          <w:rFonts w:ascii="Arial" w:hAnsi="Arial" w:cs="Arial"/>
          <w:sz w:val="20"/>
          <w:szCs w:val="20"/>
        </w:rPr>
        <w:t>conomy.</w:t>
      </w:r>
      <w:r w:rsidR="00B10038">
        <w:rPr>
          <w:rFonts w:ascii="Arial" w:hAnsi="Arial" w:cs="Arial"/>
          <w:sz w:val="20"/>
          <w:szCs w:val="20"/>
        </w:rPr>
        <w:t xml:space="preserve"> </w:t>
      </w:r>
    </w:p>
    <w:p w14:paraId="6AA19577" w14:textId="77777777" w:rsidR="00201F3D" w:rsidRPr="00C76EC7" w:rsidRDefault="00201F3D" w:rsidP="007107C4">
      <w:pPr>
        <w:jc w:val="both"/>
        <w:rPr>
          <w:rFonts w:ascii="Arial" w:hAnsi="Arial" w:cs="Arial"/>
          <w:sz w:val="20"/>
          <w:szCs w:val="20"/>
        </w:rPr>
      </w:pPr>
    </w:p>
    <w:p w14:paraId="53EFEC77" w14:textId="77777777" w:rsidR="00C76EC7" w:rsidRPr="00D97364" w:rsidRDefault="00C76EC7">
      <w:pPr>
        <w:rPr>
          <w:rFonts w:ascii="Arial" w:hAnsi="Arial" w:cs="Arial"/>
          <w:sz w:val="20"/>
          <w:szCs w:val="20"/>
        </w:rPr>
      </w:pPr>
    </w:p>
    <w:p w14:paraId="364F8333" w14:textId="77777777" w:rsidR="005B74D0" w:rsidRPr="00D97364" w:rsidRDefault="005B74D0">
      <w:pPr>
        <w:rPr>
          <w:rFonts w:ascii="Arial" w:hAnsi="Arial" w:cs="Arial"/>
          <w:sz w:val="20"/>
          <w:szCs w:val="20"/>
        </w:rPr>
        <w:sectPr w:rsidR="005B74D0" w:rsidRPr="00D97364" w:rsidSect="00D97364">
          <w:headerReference w:type="default" r:id="rId7"/>
          <w:footerReference w:type="default" r:id="rId8"/>
          <w:headerReference w:type="first" r:id="rId9"/>
          <w:footerReference w:type="first" r:id="rId10"/>
          <w:pgSz w:w="11906" w:h="16838"/>
          <w:pgMar w:top="1440" w:right="1440" w:bottom="1440" w:left="1440" w:header="708" w:footer="708" w:gutter="0"/>
          <w:pgNumType w:fmt="numberInDash"/>
          <w:cols w:space="708"/>
          <w:titlePg/>
          <w:docGrid w:linePitch="360"/>
        </w:sectPr>
      </w:pPr>
    </w:p>
    <w:p w14:paraId="3B284826" w14:textId="6BDDC6EA" w:rsidR="00025D53" w:rsidRDefault="00EB0280" w:rsidP="00D66515">
      <w:pPr>
        <w:jc w:val="both"/>
        <w:rPr>
          <w:rFonts w:ascii="Arial" w:hAnsi="Arial" w:cs="Arial"/>
          <w:b/>
          <w:bCs/>
        </w:rPr>
      </w:pPr>
      <w:bookmarkStart w:id="0" w:name="_Hlk8210418"/>
      <w:r w:rsidRPr="00344B71">
        <w:rPr>
          <w:rStyle w:val="PLATE-Subtitle1Zchn"/>
        </w:rPr>
        <w:t>Introduction</w:t>
      </w:r>
      <w:r w:rsidR="001A763E">
        <w:rPr>
          <w:rFonts w:ascii="Arial" w:hAnsi="Arial" w:cs="Arial"/>
          <w:b/>
          <w:bCs/>
        </w:rPr>
        <w:t xml:space="preserve"> </w:t>
      </w:r>
      <w:bookmarkEnd w:id="0"/>
    </w:p>
    <w:p w14:paraId="71FE2901" w14:textId="751CF886" w:rsidR="006C42CC" w:rsidRDefault="006C42CC" w:rsidP="006C42CC">
      <w:pPr>
        <w:jc w:val="both"/>
        <w:rPr>
          <w:rStyle w:val="PLATE-AbstractZchn"/>
        </w:rPr>
      </w:pPr>
      <w:r w:rsidRPr="006C42CC">
        <w:rPr>
          <w:rStyle w:val="PLATE-AbstractZchn"/>
        </w:rPr>
        <w:t xml:space="preserve">Reuse is one of the main elements of a circular economy, ensuring that materials and products are kept in use and extending their lifetime. In the waste hierarchy, </w:t>
      </w:r>
      <w:r w:rsidR="00D133B1">
        <w:rPr>
          <w:rStyle w:val="PLATE-AbstractZchn"/>
        </w:rPr>
        <w:t xml:space="preserve">reuse sits within the </w:t>
      </w:r>
      <w:r w:rsidRPr="006C42CC">
        <w:rPr>
          <w:rStyle w:val="PLATE-AbstractZchn"/>
        </w:rPr>
        <w:t xml:space="preserve">prevention </w:t>
      </w:r>
      <w:r w:rsidR="00D133B1">
        <w:rPr>
          <w:rStyle w:val="PLATE-AbstractZchn"/>
        </w:rPr>
        <w:t>tier</w:t>
      </w:r>
      <w:r w:rsidRPr="006C42CC">
        <w:rPr>
          <w:rStyle w:val="PLATE-AbstractZchn"/>
        </w:rPr>
        <w:t xml:space="preserve"> at the top of the hierarchy</w:t>
      </w:r>
      <w:r w:rsidR="00D133B1">
        <w:rPr>
          <w:rStyle w:val="PLATE-AbstractZchn"/>
        </w:rPr>
        <w:t>,</w:t>
      </w:r>
      <w:r w:rsidRPr="006C42CC">
        <w:rPr>
          <w:rStyle w:val="PLATE-AbstractZchn"/>
        </w:rPr>
        <w:t xml:space="preserve"> as it prevents raw materials entering the production/consumption cycle. This is followed by </w:t>
      </w:r>
      <w:r w:rsidR="00D133B1">
        <w:rPr>
          <w:rStyle w:val="PLATE-AbstractZchn"/>
        </w:rPr>
        <w:t xml:space="preserve">preparation for </w:t>
      </w:r>
      <w:r w:rsidRPr="006C42CC">
        <w:rPr>
          <w:rStyle w:val="PLATE-AbstractZchn"/>
        </w:rPr>
        <w:t xml:space="preserve">reuse, which represents the most desirable option </w:t>
      </w:r>
      <w:r w:rsidR="00601374">
        <w:rPr>
          <w:rStyle w:val="PLATE-AbstractZchn"/>
        </w:rPr>
        <w:t xml:space="preserve">for </w:t>
      </w:r>
      <w:r w:rsidRPr="006C42CC">
        <w:rPr>
          <w:rStyle w:val="PLATE-AbstractZchn"/>
        </w:rPr>
        <w:t xml:space="preserve">resources </w:t>
      </w:r>
      <w:r w:rsidR="00601374">
        <w:rPr>
          <w:rStyle w:val="PLATE-AbstractZchn"/>
        </w:rPr>
        <w:t xml:space="preserve">that </w:t>
      </w:r>
      <w:r w:rsidRPr="006C42CC">
        <w:rPr>
          <w:rStyle w:val="PLATE-AbstractZchn"/>
        </w:rPr>
        <w:t xml:space="preserve">have entered the </w:t>
      </w:r>
      <w:r w:rsidR="00D133B1">
        <w:rPr>
          <w:rStyle w:val="PLATE-AbstractZchn"/>
        </w:rPr>
        <w:t xml:space="preserve">waste </w:t>
      </w:r>
      <w:r w:rsidRPr="006C42CC">
        <w:rPr>
          <w:rStyle w:val="PLATE-AbstractZchn"/>
        </w:rPr>
        <w:t xml:space="preserve">system and is a more environmentally friendly option than lower tiers, such as recycling, incineration and landfill. </w:t>
      </w:r>
      <w:r w:rsidR="00CC601C" w:rsidRPr="00CC601C">
        <w:rPr>
          <w:rStyle w:val="PLATE-AbstractZchn"/>
        </w:rPr>
        <w:t>A</w:t>
      </w:r>
      <w:r w:rsidR="00415592">
        <w:rPr>
          <w:rStyle w:val="PLATE-AbstractZchn"/>
        </w:rPr>
        <w:t>n Irish</w:t>
      </w:r>
      <w:r w:rsidR="00CC601C" w:rsidRPr="00CC601C">
        <w:rPr>
          <w:rStyle w:val="PLATE-AbstractZchn"/>
        </w:rPr>
        <w:t xml:space="preserve"> EPA report </w:t>
      </w:r>
      <w:r w:rsidR="00CC601C">
        <w:rPr>
          <w:rStyle w:val="PLATE-AbstractZchn"/>
        </w:rPr>
        <w:t xml:space="preserve">(Johnson </w:t>
      </w:r>
      <w:r w:rsidR="00CC601C" w:rsidRPr="00CC601C">
        <w:rPr>
          <w:rStyle w:val="PLATE-AbstractZchn"/>
          <w:i/>
          <w:iCs/>
        </w:rPr>
        <w:t>et al</w:t>
      </w:r>
      <w:r w:rsidR="00CC601C">
        <w:rPr>
          <w:rStyle w:val="PLATE-AbstractZchn"/>
        </w:rPr>
        <w:t xml:space="preserve">, 2018) </w:t>
      </w:r>
      <w:r w:rsidR="00CC601C" w:rsidRPr="00CC601C">
        <w:rPr>
          <w:rStyle w:val="PLATE-AbstractZchn"/>
        </w:rPr>
        <w:t>states that mandatory targets for reuse can help overcome barriers to reuse by prioritising (in th</w:t>
      </w:r>
      <w:r w:rsidR="004A0C39">
        <w:rPr>
          <w:rStyle w:val="PLATE-AbstractZchn"/>
        </w:rPr>
        <w:t>e</w:t>
      </w:r>
      <w:r w:rsidR="00CC601C" w:rsidRPr="00CC601C">
        <w:rPr>
          <w:rStyle w:val="PLATE-AbstractZchn"/>
        </w:rPr>
        <w:t xml:space="preserve"> case</w:t>
      </w:r>
      <w:r w:rsidR="004A0C39">
        <w:rPr>
          <w:rStyle w:val="PLATE-AbstractZchn"/>
        </w:rPr>
        <w:t xml:space="preserve"> of their paper</w:t>
      </w:r>
      <w:r w:rsidR="00CC601C" w:rsidRPr="00CC601C">
        <w:rPr>
          <w:rStyle w:val="PLATE-AbstractZchn"/>
        </w:rPr>
        <w:t xml:space="preserve">) preparation for reuse and avoiding a situation where primary focus is on measures at lower tiers of the waste hierarchy. </w:t>
      </w:r>
      <w:r w:rsidRPr="006C42CC">
        <w:rPr>
          <w:rStyle w:val="PLATE-AbstractZchn"/>
        </w:rPr>
        <w:t xml:space="preserve">The </w:t>
      </w:r>
      <w:r w:rsidRPr="00C067BB">
        <w:rPr>
          <w:rStyle w:val="PLATE-AbstractZchn"/>
        </w:rPr>
        <w:t>circular economy</w:t>
      </w:r>
      <w:r w:rsidRPr="006C42CC">
        <w:rPr>
          <w:rStyle w:val="PLATE-AbstractZchn"/>
        </w:rPr>
        <w:t xml:space="preserve"> aims to counter the dominant ‘take, make and dispose’ economic model, whose negative effects threaten the </w:t>
      </w:r>
      <w:r w:rsidRPr="006C42CC">
        <w:rPr>
          <w:rStyle w:val="PLATE-AbstractZchn"/>
        </w:rPr>
        <w:t>stability of economies and the integrity of the natural global ecosystems that are essential for humanity’s survival.</w:t>
      </w:r>
      <w:r w:rsidR="00A664E3">
        <w:rPr>
          <w:rStyle w:val="PLATE-AbstractZchn"/>
        </w:rPr>
        <w:t xml:space="preserve"> </w:t>
      </w:r>
    </w:p>
    <w:p w14:paraId="46F4B217" w14:textId="77777777" w:rsidR="006C42CC" w:rsidRPr="006C42CC" w:rsidRDefault="006C42CC" w:rsidP="006C42CC">
      <w:pPr>
        <w:jc w:val="both"/>
        <w:rPr>
          <w:rStyle w:val="PLATE-AbstractZchn"/>
        </w:rPr>
      </w:pPr>
    </w:p>
    <w:p w14:paraId="7DCB649B" w14:textId="34E6C758" w:rsidR="00423202" w:rsidRDefault="006C42CC" w:rsidP="006C42CC">
      <w:pPr>
        <w:jc w:val="both"/>
        <w:rPr>
          <w:rStyle w:val="PLATE-AbstractZchn"/>
        </w:rPr>
      </w:pPr>
      <w:r w:rsidRPr="006C42CC">
        <w:rPr>
          <w:rStyle w:val="PLATE-AbstractZchn"/>
        </w:rPr>
        <w:t xml:space="preserve">Circular economy policy in the European Union is guided by the Commission’s 2015 European Circular Economy (CE) Package, and more recently the Circular Economy Action Plan released in March 2020. </w:t>
      </w:r>
      <w:r w:rsidRPr="00712ACD">
        <w:rPr>
          <w:rStyle w:val="PLATE-AbstractZchn"/>
          <w:color w:val="000000" w:themeColor="text1"/>
        </w:rPr>
        <w:t>Reuse is defined in the EU Waste Framework Directive (WFD)</w:t>
      </w:r>
      <w:r w:rsidR="00A51D54" w:rsidRPr="00712ACD">
        <w:rPr>
          <w:rStyle w:val="PLATE-AbstractZchn"/>
          <w:color w:val="000000" w:themeColor="text1"/>
        </w:rPr>
        <w:t xml:space="preserve"> </w:t>
      </w:r>
      <w:r w:rsidR="00712ACD" w:rsidRPr="00712ACD">
        <w:rPr>
          <w:rStyle w:val="PLATE-AbstractZchn"/>
          <w:color w:val="000000" w:themeColor="text1"/>
        </w:rPr>
        <w:t>(</w:t>
      </w:r>
      <w:r w:rsidR="00712ACD" w:rsidRPr="00712ACD">
        <w:rPr>
          <w:rStyle w:val="PLATE-AbstractZchn"/>
          <w:i/>
          <w:iCs/>
          <w:color w:val="000000" w:themeColor="text1"/>
        </w:rPr>
        <w:t>(EC) European Commission, 2018</w:t>
      </w:r>
      <w:r w:rsidR="00712ACD" w:rsidRPr="00712ACD">
        <w:rPr>
          <w:rStyle w:val="PLATE-AbstractZchn"/>
          <w:color w:val="000000" w:themeColor="text1"/>
        </w:rPr>
        <w:t xml:space="preserve">) </w:t>
      </w:r>
      <w:r w:rsidRPr="006C42CC">
        <w:rPr>
          <w:rStyle w:val="PLATE-AbstractZchn"/>
        </w:rPr>
        <w:t>as ‘any operation by which products or components that are not waste are used again for the same purpose for which they were conceived’.</w:t>
      </w:r>
      <w:r w:rsidR="00A12101">
        <w:rPr>
          <w:rStyle w:val="PLATE-AbstractZchn"/>
        </w:rPr>
        <w:t xml:space="preserve"> </w:t>
      </w:r>
      <w:r w:rsidR="00A12101" w:rsidRPr="00A12101">
        <w:rPr>
          <w:rStyle w:val="PLATE-AbstractZchn"/>
        </w:rPr>
        <w:t>As a means of promoting reuse in the EU, the revised Waste Framework Directive intends that Member States (MS) take ‘appropriate measures to prevent waste generation and monitor and assess progress in the implementation of such measures’.</w:t>
      </w:r>
      <w:r w:rsidR="00A51D54">
        <w:rPr>
          <w:rStyle w:val="PLATE-AbstractZchn"/>
        </w:rPr>
        <w:t xml:space="preserve"> </w:t>
      </w:r>
      <w:r w:rsidR="00CC601C" w:rsidRPr="00CC601C">
        <w:rPr>
          <w:rStyle w:val="PLATE-AbstractZchn"/>
        </w:rPr>
        <w:t xml:space="preserve">Reuse is difficult to measure. As a non-waste activity and therefore non-regulated, reuse involves a great diversity of material flows </w:t>
      </w:r>
      <w:r w:rsidR="00CC601C" w:rsidRPr="00CC601C">
        <w:rPr>
          <w:rStyle w:val="PLATE-AbstractZchn"/>
        </w:rPr>
        <w:lastRenderedPageBreak/>
        <w:t xml:space="preserve">and business models, from online exchanges to refurbishment workshops and second hand retail. </w:t>
      </w:r>
      <w:r w:rsidR="00D82186" w:rsidRPr="00D82186">
        <w:rPr>
          <w:rStyle w:val="PLATE-AbstractZchn"/>
        </w:rPr>
        <w:t>To ensure such measurement takes place, and to ensure that it is achieved uniformly across all MS, the Directive proposes that ‘common indicators and targets should be established’. This is further developed in Article 9(4) of the Directive which requires that MS measure reuse, applying the common methodology to be established by the implementing Act.</w:t>
      </w:r>
      <w:r w:rsidR="00423202">
        <w:rPr>
          <w:rStyle w:val="PLATE-AbstractZchn"/>
        </w:rPr>
        <w:t xml:space="preserve"> </w:t>
      </w:r>
      <w:r w:rsidR="00423202" w:rsidRPr="00423202">
        <w:rPr>
          <w:rStyle w:val="PLATE-AbstractZchn"/>
        </w:rPr>
        <w:t>The Commission Implementing Decision laying down</w:t>
      </w:r>
      <w:r w:rsidR="004A0C39">
        <w:rPr>
          <w:rStyle w:val="PLATE-AbstractZchn"/>
        </w:rPr>
        <w:t xml:space="preserve"> the </w:t>
      </w:r>
      <w:r w:rsidR="00423202" w:rsidRPr="00423202">
        <w:rPr>
          <w:rStyle w:val="PLATE-AbstractZchn"/>
        </w:rPr>
        <w:t xml:space="preserve">methodology and a format for reporting on re-use was published in January 2021 in </w:t>
      </w:r>
      <w:proofErr w:type="spellStart"/>
      <w:r w:rsidR="00423202" w:rsidRPr="00423202">
        <w:rPr>
          <w:rStyle w:val="PLATE-AbstractZchn"/>
        </w:rPr>
        <w:t>Eurlex</w:t>
      </w:r>
      <w:proofErr w:type="spellEnd"/>
      <w:r w:rsidR="00423202">
        <w:rPr>
          <w:rStyle w:val="PLATE-AbstractZchn"/>
        </w:rPr>
        <w:t xml:space="preserve"> requiring:</w:t>
      </w:r>
    </w:p>
    <w:p w14:paraId="115C505D" w14:textId="77777777" w:rsidR="00423202" w:rsidRDefault="00423202" w:rsidP="006C42CC">
      <w:pPr>
        <w:jc w:val="both"/>
        <w:rPr>
          <w:rStyle w:val="PLATE-AbstractZchn"/>
        </w:rPr>
      </w:pPr>
    </w:p>
    <w:p w14:paraId="1E9446C0" w14:textId="1D83B3CA" w:rsidR="00423202" w:rsidRDefault="00423202" w:rsidP="00423202">
      <w:pPr>
        <w:pStyle w:val="ListParagraph"/>
        <w:numPr>
          <w:ilvl w:val="0"/>
          <w:numId w:val="1"/>
        </w:numPr>
        <w:jc w:val="both"/>
        <w:rPr>
          <w:rStyle w:val="PLATE-AbstractZchn"/>
        </w:rPr>
      </w:pPr>
      <w:r w:rsidRPr="00423202">
        <w:rPr>
          <w:rStyle w:val="PLATE-AbstractZchn"/>
        </w:rPr>
        <w:t>Member States measure reuse by “carrying out a qualitative and a quantitative monitoring of measures on reuse”</w:t>
      </w:r>
    </w:p>
    <w:p w14:paraId="6095021B" w14:textId="4F7EA8B7" w:rsidR="00423202" w:rsidRDefault="00423202" w:rsidP="006C42CC">
      <w:pPr>
        <w:jc w:val="both"/>
        <w:rPr>
          <w:rStyle w:val="PLATE-AbstractZchn"/>
        </w:rPr>
      </w:pPr>
    </w:p>
    <w:p w14:paraId="491B4554" w14:textId="75C9EB8E" w:rsidR="00423202" w:rsidRDefault="00423202" w:rsidP="00423202">
      <w:pPr>
        <w:pStyle w:val="ListParagraph"/>
        <w:numPr>
          <w:ilvl w:val="0"/>
          <w:numId w:val="1"/>
        </w:numPr>
        <w:jc w:val="both"/>
        <w:rPr>
          <w:rStyle w:val="PLATE-AbstractZchn"/>
        </w:rPr>
      </w:pPr>
      <w:r w:rsidRPr="00423202">
        <w:rPr>
          <w:rStyle w:val="PLATE-AbstractZchn"/>
        </w:rPr>
        <w:t xml:space="preserve">Quantitative monitoring will include measuring - at least </w:t>
      </w:r>
      <w:r w:rsidRPr="00423202">
        <w:rPr>
          <w:rStyle w:val="PLATE-AbstractZchn"/>
          <w:b/>
          <w:bCs/>
        </w:rPr>
        <w:t xml:space="preserve">once every three years </w:t>
      </w:r>
      <w:r w:rsidR="00926B1B">
        <w:rPr>
          <w:rStyle w:val="PLATE-AbstractZchn"/>
          <w:b/>
          <w:bCs/>
        </w:rPr>
        <w:t>–</w:t>
      </w:r>
      <w:r w:rsidRPr="00423202">
        <w:rPr>
          <w:rStyle w:val="PLATE-AbstractZchn"/>
          <w:b/>
          <w:bCs/>
        </w:rPr>
        <w:t xml:space="preserve"> </w:t>
      </w:r>
      <w:r w:rsidR="00926B1B">
        <w:rPr>
          <w:rStyle w:val="PLATE-AbstractZchn"/>
          <w:b/>
          <w:bCs/>
        </w:rPr>
        <w:t xml:space="preserve">of </w:t>
      </w:r>
      <w:r w:rsidRPr="00423202">
        <w:rPr>
          <w:rStyle w:val="PLATE-AbstractZchn"/>
          <w:b/>
          <w:bCs/>
        </w:rPr>
        <w:t xml:space="preserve">reuse </w:t>
      </w:r>
      <w:r w:rsidR="00926B1B">
        <w:rPr>
          <w:rStyle w:val="PLATE-AbstractZchn"/>
          <w:b/>
          <w:bCs/>
        </w:rPr>
        <w:t>undertaken</w:t>
      </w:r>
      <w:r w:rsidRPr="00423202">
        <w:rPr>
          <w:rStyle w:val="PLATE-AbstractZchn"/>
          <w:b/>
          <w:bCs/>
        </w:rPr>
        <w:t xml:space="preserve"> by reuse operators or households.</w:t>
      </w:r>
    </w:p>
    <w:p w14:paraId="7694BD48" w14:textId="432E6CD7" w:rsidR="00423202" w:rsidRDefault="00423202" w:rsidP="006C42CC">
      <w:pPr>
        <w:jc w:val="both"/>
        <w:rPr>
          <w:rStyle w:val="PLATE-AbstractZchn"/>
        </w:rPr>
      </w:pPr>
    </w:p>
    <w:p w14:paraId="67124D58" w14:textId="568CCB3C" w:rsidR="00423202" w:rsidRPr="00423202" w:rsidRDefault="00423202" w:rsidP="00423202">
      <w:pPr>
        <w:pStyle w:val="ListParagraph"/>
        <w:numPr>
          <w:ilvl w:val="0"/>
          <w:numId w:val="1"/>
        </w:numPr>
        <w:jc w:val="both"/>
        <w:rPr>
          <w:rStyle w:val="PLATE-AbstractZchn"/>
          <w:b/>
          <w:bCs/>
        </w:rPr>
      </w:pPr>
      <w:r w:rsidRPr="00423202">
        <w:rPr>
          <w:rStyle w:val="PLATE-AbstractZchn"/>
        </w:rPr>
        <w:t xml:space="preserve">Appropriate measures should be taken to ensure the </w:t>
      </w:r>
      <w:r w:rsidRPr="00423202">
        <w:rPr>
          <w:rStyle w:val="PLATE-AbstractZchn"/>
          <w:b/>
          <w:bCs/>
        </w:rPr>
        <w:t xml:space="preserve">reliability and accuracy of the data </w:t>
      </w:r>
      <w:r w:rsidRPr="00423202">
        <w:rPr>
          <w:rStyle w:val="PLATE-AbstractZchn"/>
        </w:rPr>
        <w:t>on reuse.</w:t>
      </w:r>
    </w:p>
    <w:p w14:paraId="78F93A6D" w14:textId="77777777" w:rsidR="00423202" w:rsidRDefault="00423202" w:rsidP="006C42CC">
      <w:pPr>
        <w:jc w:val="both"/>
        <w:rPr>
          <w:rStyle w:val="PLATE-AbstractZchn"/>
        </w:rPr>
      </w:pPr>
    </w:p>
    <w:p w14:paraId="5D81F46C" w14:textId="6CB64D38" w:rsidR="003C53DE" w:rsidRDefault="003C53DE" w:rsidP="003C53DE">
      <w:pPr>
        <w:jc w:val="both"/>
        <w:rPr>
          <w:rStyle w:val="PLATE-AbstractZchn"/>
        </w:rPr>
      </w:pPr>
      <w:r w:rsidRPr="00F64FD5">
        <w:rPr>
          <w:rStyle w:val="PLATE-AbstractZchn"/>
        </w:rPr>
        <w:t>In order to support Ireland in meeting the requirements of the WFD,</w:t>
      </w:r>
      <w:r>
        <w:rPr>
          <w:rStyle w:val="PLATE-AbstractZchn"/>
        </w:rPr>
        <w:t xml:space="preserve"> </w:t>
      </w:r>
      <w:r w:rsidRPr="00F64FD5">
        <w:rPr>
          <w:rStyle w:val="PLATE-AbstractZchn"/>
        </w:rPr>
        <w:t>the Environmental Protection Agency, in its Research Call for 2018</w:t>
      </w:r>
      <w:r w:rsidR="00926B1B">
        <w:rPr>
          <w:rStyle w:val="PLATE-AbstractZchn"/>
        </w:rPr>
        <w:t xml:space="preserve"> </w:t>
      </w:r>
      <w:r w:rsidRPr="00F64FD5">
        <w:rPr>
          <w:rStyle w:val="PLATE-AbstractZchn"/>
        </w:rPr>
        <w:t>for Sustainability, included a project: ‘Qualifying and quantifying the</w:t>
      </w:r>
      <w:r>
        <w:rPr>
          <w:rStyle w:val="PLATE-AbstractZchn"/>
        </w:rPr>
        <w:t xml:space="preserve"> </w:t>
      </w:r>
      <w:r w:rsidRPr="00F64FD5">
        <w:rPr>
          <w:rStyle w:val="PLATE-AbstractZchn"/>
        </w:rPr>
        <w:t>Reuse Sector in Ireland’</w:t>
      </w:r>
      <w:r>
        <w:rPr>
          <w:rStyle w:val="PLATE-AbstractZchn"/>
        </w:rPr>
        <w:t xml:space="preserve"> (Q2Reuse)</w:t>
      </w:r>
      <w:r w:rsidRPr="00F64FD5">
        <w:rPr>
          <w:rStyle w:val="PLATE-AbstractZchn"/>
        </w:rPr>
        <w:t>.</w:t>
      </w:r>
      <w:r>
        <w:rPr>
          <w:rStyle w:val="PLATE-AbstractZchn"/>
        </w:rPr>
        <w:t xml:space="preserve"> In</w:t>
      </w:r>
      <w:r w:rsidRPr="0088645F">
        <w:rPr>
          <w:rStyle w:val="PLATE-AbstractZchn"/>
        </w:rPr>
        <w:t xml:space="preserve"> March, 2019, a consortium led by The Clean Technology Centre (CTC) at</w:t>
      </w:r>
      <w:r>
        <w:rPr>
          <w:rStyle w:val="PLATE-AbstractZchn"/>
        </w:rPr>
        <w:t xml:space="preserve"> MTU Cork</w:t>
      </w:r>
      <w:r w:rsidRPr="0088645F">
        <w:rPr>
          <w:rStyle w:val="PLATE-AbstractZchn"/>
        </w:rPr>
        <w:t xml:space="preserve">, </w:t>
      </w:r>
      <w:r>
        <w:rPr>
          <w:rStyle w:val="PLATE-AbstractZchn"/>
        </w:rPr>
        <w:t>with</w:t>
      </w:r>
      <w:r w:rsidRPr="0088645F">
        <w:rPr>
          <w:rStyle w:val="PLATE-AbstractZchn"/>
        </w:rPr>
        <w:t xml:space="preserve"> the Community Resource Network Ireland (CRNI) and The</w:t>
      </w:r>
      <w:r>
        <w:rPr>
          <w:rStyle w:val="PLATE-AbstractZchn"/>
        </w:rPr>
        <w:t xml:space="preserve"> </w:t>
      </w:r>
      <w:r w:rsidRPr="0088645F">
        <w:rPr>
          <w:rStyle w:val="PLATE-AbstractZchn"/>
        </w:rPr>
        <w:t>Rediscovery Centre began work on the research p</w:t>
      </w:r>
      <w:r>
        <w:rPr>
          <w:rStyle w:val="PLATE-AbstractZchn"/>
        </w:rPr>
        <w:t>roject. This paper summarises the work carried out thus far on the project</w:t>
      </w:r>
      <w:r w:rsidRPr="0088645F">
        <w:rPr>
          <w:rStyle w:val="PLATE-AbstractZchn"/>
        </w:rPr>
        <w:t>.</w:t>
      </w:r>
      <w:r>
        <w:rPr>
          <w:rStyle w:val="PLATE-AbstractZchn"/>
        </w:rPr>
        <w:t xml:space="preserve"> </w:t>
      </w:r>
    </w:p>
    <w:p w14:paraId="5A1BB59C" w14:textId="7413010E" w:rsidR="009E18A5" w:rsidRDefault="009E18A5" w:rsidP="0088645F">
      <w:pPr>
        <w:jc w:val="both"/>
        <w:rPr>
          <w:rStyle w:val="PLATE-AbstractZchn"/>
        </w:rPr>
      </w:pPr>
    </w:p>
    <w:p w14:paraId="02729399" w14:textId="77777777" w:rsidR="003C53DE" w:rsidRPr="003C53DE" w:rsidRDefault="003C53DE" w:rsidP="003C53DE">
      <w:pPr>
        <w:jc w:val="both"/>
        <w:rPr>
          <w:rStyle w:val="PLATE-Subtitle1Zchn"/>
          <w:color w:val="000000" w:themeColor="text1"/>
        </w:rPr>
      </w:pPr>
      <w:r w:rsidRPr="003C53DE">
        <w:rPr>
          <w:rStyle w:val="PLATE-Subtitle1Zchn"/>
          <w:color w:val="000000" w:themeColor="text1"/>
        </w:rPr>
        <w:t>State of the art</w:t>
      </w:r>
    </w:p>
    <w:p w14:paraId="0094FDDF" w14:textId="77777777" w:rsidR="003C53DE" w:rsidRPr="003C53DE" w:rsidRDefault="003C53DE" w:rsidP="003C53DE">
      <w:pPr>
        <w:jc w:val="both"/>
        <w:rPr>
          <w:rStyle w:val="PLATE-AbstractZchn"/>
          <w:color w:val="000000" w:themeColor="text1"/>
        </w:rPr>
      </w:pPr>
      <w:r w:rsidRPr="003C53DE">
        <w:rPr>
          <w:rStyle w:val="PLATE-AbstractZchn"/>
          <w:color w:val="000000" w:themeColor="text1"/>
        </w:rPr>
        <w:t xml:space="preserve">The project team first looked at regions that have carried out, or are carrying out, the measurement of reuse. Ten international programmes, measurement systems and sets of activities were analysed by the project team. The findings from Scotland, Spain, UK, New South Wales, Netherlands, Flanders, Finland, Greece, New Zealand and New York City were condensed into a synthesis report (Q2Reuse, 2020). </w:t>
      </w:r>
    </w:p>
    <w:p w14:paraId="3202A142" w14:textId="77777777" w:rsidR="003C53DE" w:rsidRDefault="003C53DE" w:rsidP="009E18A5">
      <w:pPr>
        <w:jc w:val="both"/>
        <w:rPr>
          <w:rStyle w:val="PLATE-AbstractZchn"/>
        </w:rPr>
      </w:pPr>
    </w:p>
    <w:p w14:paraId="26A2ED24" w14:textId="3C62D483" w:rsidR="00423202" w:rsidRPr="0088645F" w:rsidRDefault="009E18A5" w:rsidP="009E18A5">
      <w:pPr>
        <w:jc w:val="both"/>
        <w:rPr>
          <w:rStyle w:val="PLATE-AbstractZchn"/>
        </w:rPr>
      </w:pPr>
      <w:r w:rsidRPr="009E18A5">
        <w:rPr>
          <w:rStyle w:val="PLATE-AbstractZchn"/>
        </w:rPr>
        <w:t>Some regions, such as Scotland, New South Wales, and the UK</w:t>
      </w:r>
      <w:r>
        <w:rPr>
          <w:rStyle w:val="PLATE-AbstractZchn"/>
        </w:rPr>
        <w:t xml:space="preserve"> </w:t>
      </w:r>
      <w:r w:rsidRPr="009E18A5">
        <w:rPr>
          <w:rStyle w:val="PLATE-AbstractZchn"/>
        </w:rPr>
        <w:t>have carried out once-off quality or quantity related assessments</w:t>
      </w:r>
      <w:r>
        <w:rPr>
          <w:rStyle w:val="PLATE-AbstractZchn"/>
        </w:rPr>
        <w:t xml:space="preserve"> </w:t>
      </w:r>
      <w:r w:rsidRPr="009E18A5">
        <w:rPr>
          <w:rStyle w:val="PLATE-AbstractZchn"/>
        </w:rPr>
        <w:t xml:space="preserve">of reuse. Each of these </w:t>
      </w:r>
      <w:r w:rsidR="007C4DB9">
        <w:rPr>
          <w:rStyle w:val="PLATE-AbstractZchn"/>
        </w:rPr>
        <w:t xml:space="preserve">studies </w:t>
      </w:r>
      <w:r w:rsidRPr="009E18A5">
        <w:rPr>
          <w:rStyle w:val="PLATE-AbstractZchn"/>
        </w:rPr>
        <w:t>used different data gathering methods with</w:t>
      </w:r>
      <w:r>
        <w:rPr>
          <w:rStyle w:val="PLATE-AbstractZchn"/>
        </w:rPr>
        <w:t xml:space="preserve"> </w:t>
      </w:r>
      <w:r w:rsidR="00E30B0B">
        <w:rPr>
          <w:rStyle w:val="PLATE-AbstractZchn"/>
        </w:rPr>
        <w:t>varying</w:t>
      </w:r>
      <w:r w:rsidRPr="009E18A5">
        <w:rPr>
          <w:rStyle w:val="PLATE-AbstractZchn"/>
        </w:rPr>
        <w:t xml:space="preserve"> assumptions and parameters.</w:t>
      </w:r>
      <w:r>
        <w:rPr>
          <w:rStyle w:val="PLATE-AbstractZchn"/>
        </w:rPr>
        <w:t xml:space="preserve"> </w:t>
      </w:r>
      <w:r w:rsidR="002F6D0A">
        <w:rPr>
          <w:rStyle w:val="PLATE-AbstractZchn"/>
        </w:rPr>
        <w:t xml:space="preserve">Other </w:t>
      </w:r>
      <w:r w:rsidRPr="009E18A5">
        <w:rPr>
          <w:rStyle w:val="PLATE-AbstractZchn"/>
        </w:rPr>
        <w:t>regions, such as Flanders, The</w:t>
      </w:r>
      <w:r>
        <w:rPr>
          <w:rStyle w:val="PLATE-AbstractZchn"/>
        </w:rPr>
        <w:t xml:space="preserve"> </w:t>
      </w:r>
      <w:r w:rsidRPr="009E18A5">
        <w:rPr>
          <w:rStyle w:val="PLATE-AbstractZchn"/>
        </w:rPr>
        <w:t>Netherlands, Spain and Greece, have set up systematic, online,</w:t>
      </w:r>
      <w:r>
        <w:rPr>
          <w:rStyle w:val="PLATE-AbstractZchn"/>
        </w:rPr>
        <w:t xml:space="preserve"> </w:t>
      </w:r>
      <w:r w:rsidRPr="009E18A5">
        <w:rPr>
          <w:rStyle w:val="PLATE-AbstractZchn"/>
        </w:rPr>
        <w:t xml:space="preserve">multi-annual </w:t>
      </w:r>
      <w:r w:rsidRPr="00EE5E1C">
        <w:rPr>
          <w:rStyle w:val="PLATE-AbstractZchn"/>
          <w:color w:val="000000" w:themeColor="text1"/>
        </w:rPr>
        <w:t xml:space="preserve">data gathering systems to measure reuse </w:t>
      </w:r>
      <w:r w:rsidR="00EE5E1C" w:rsidRPr="00EE5E1C">
        <w:rPr>
          <w:rStyle w:val="PLATE-AbstractZchn"/>
          <w:color w:val="000000" w:themeColor="text1"/>
        </w:rPr>
        <w:t xml:space="preserve">(though the systems in Spain and Greece are only Electrical and Electronic Equipment (EEE) related). </w:t>
      </w:r>
      <w:r w:rsidR="00120A53">
        <w:rPr>
          <w:rStyle w:val="PLATE-AbstractZchn"/>
        </w:rPr>
        <w:t>While this project was underway, a</w:t>
      </w:r>
      <w:r w:rsidR="00423202" w:rsidRPr="00423202">
        <w:rPr>
          <w:rStyle w:val="PLATE-AbstractZchn"/>
        </w:rPr>
        <w:t xml:space="preserve"> comprehensive review </w:t>
      </w:r>
      <w:r w:rsidR="00120A53" w:rsidRPr="00423202">
        <w:rPr>
          <w:rStyle w:val="PLATE-AbstractZchn"/>
        </w:rPr>
        <w:t>of possible measurement methodologies</w:t>
      </w:r>
      <w:r w:rsidR="00120A53">
        <w:rPr>
          <w:rStyle w:val="PLATE-AbstractZchn"/>
        </w:rPr>
        <w:t xml:space="preserve"> in Europe </w:t>
      </w:r>
      <w:r w:rsidR="00423202" w:rsidRPr="00423202">
        <w:rPr>
          <w:rStyle w:val="PLATE-AbstractZchn"/>
        </w:rPr>
        <w:t xml:space="preserve">was </w:t>
      </w:r>
      <w:r w:rsidR="00120A53">
        <w:rPr>
          <w:rStyle w:val="PLATE-AbstractZchn"/>
        </w:rPr>
        <w:t>published</w:t>
      </w:r>
      <w:r w:rsidR="00423202" w:rsidRPr="00423202">
        <w:rPr>
          <w:rStyle w:val="PLATE-AbstractZchn"/>
        </w:rPr>
        <w:t xml:space="preserve"> by </w:t>
      </w:r>
      <w:proofErr w:type="spellStart"/>
      <w:r w:rsidR="00423202" w:rsidRPr="00423202">
        <w:rPr>
          <w:rStyle w:val="PLATE-AbstractZchn"/>
        </w:rPr>
        <w:t>Oko-Institut</w:t>
      </w:r>
      <w:proofErr w:type="spellEnd"/>
      <w:r w:rsidR="00120A53">
        <w:rPr>
          <w:rStyle w:val="PLATE-AbstractZchn"/>
        </w:rPr>
        <w:t xml:space="preserve"> (</w:t>
      </w:r>
      <w:proofErr w:type="spellStart"/>
      <w:r w:rsidR="000C236D" w:rsidRPr="000C236D">
        <w:rPr>
          <w:rStyle w:val="PLATE-AbstractZchn"/>
        </w:rPr>
        <w:t>Gsell</w:t>
      </w:r>
      <w:proofErr w:type="spellEnd"/>
      <w:r w:rsidR="000C236D" w:rsidRPr="000C236D">
        <w:rPr>
          <w:rStyle w:val="PLATE-AbstractZchn"/>
        </w:rPr>
        <w:t xml:space="preserve">, M. </w:t>
      </w:r>
      <w:r w:rsidR="000C236D" w:rsidRPr="00120A53">
        <w:rPr>
          <w:rStyle w:val="PLATE-AbstractZchn"/>
          <w:i/>
          <w:iCs/>
        </w:rPr>
        <w:t>et al</w:t>
      </w:r>
      <w:r w:rsidR="000C236D" w:rsidRPr="000C236D">
        <w:rPr>
          <w:rStyle w:val="PLATE-AbstractZchn"/>
        </w:rPr>
        <w:t>, 2019)</w:t>
      </w:r>
      <w:r w:rsidR="00120A53">
        <w:rPr>
          <w:rStyle w:val="PLATE-AbstractZchn"/>
        </w:rPr>
        <w:t xml:space="preserve">. This has been reviewed and has informed this work. </w:t>
      </w:r>
    </w:p>
    <w:p w14:paraId="3800606B" w14:textId="77777777" w:rsidR="00CD0CBF" w:rsidRDefault="00CD0CBF" w:rsidP="001A763E">
      <w:pPr>
        <w:pStyle w:val="PLATE-Text"/>
        <w:rPr>
          <w:rStyle w:val="PLATE-AbstractZchn"/>
        </w:rPr>
      </w:pPr>
    </w:p>
    <w:p w14:paraId="55E4176B" w14:textId="0A9BBB37" w:rsidR="009B1E8E" w:rsidRPr="001A3693" w:rsidRDefault="009B1E8E" w:rsidP="001A3693">
      <w:pPr>
        <w:jc w:val="both"/>
        <w:rPr>
          <w:rStyle w:val="PLATE-Subtitle1Zchn"/>
          <w:color w:val="000000" w:themeColor="text1"/>
        </w:rPr>
      </w:pPr>
      <w:r w:rsidRPr="001A3693">
        <w:rPr>
          <w:rStyle w:val="PLATE-Subtitle1Zchn"/>
          <w:color w:val="000000" w:themeColor="text1"/>
        </w:rPr>
        <w:t>Qualitative Methodology</w:t>
      </w:r>
    </w:p>
    <w:p w14:paraId="61220D45" w14:textId="3F1212CA" w:rsidR="007E3D43" w:rsidRPr="00EE5E1C" w:rsidRDefault="00713ECE" w:rsidP="007E3D43">
      <w:pPr>
        <w:pStyle w:val="PLATE-Text"/>
        <w:rPr>
          <w:rStyle w:val="PLATE-AbstractZchn"/>
          <w:color w:val="000000" w:themeColor="text1"/>
        </w:rPr>
      </w:pPr>
      <w:r>
        <w:rPr>
          <w:rStyle w:val="PLATE-AbstractZchn"/>
        </w:rPr>
        <w:t>Next, a</w:t>
      </w:r>
      <w:r w:rsidR="00CD0CBF">
        <w:rPr>
          <w:rStyle w:val="PLATE-AbstractZchn"/>
        </w:rPr>
        <w:t xml:space="preserve"> qualitative mapping </w:t>
      </w:r>
      <w:r w:rsidR="004A0C39">
        <w:rPr>
          <w:rStyle w:val="PLATE-AbstractZchn"/>
        </w:rPr>
        <w:t xml:space="preserve">of reuse in Ireland was conducted. This iterative process informed the development of a flow </w:t>
      </w:r>
      <w:r w:rsidR="004A0C39" w:rsidRPr="00CD0CBF">
        <w:rPr>
          <w:rStyle w:val="PLATE-AbstractZchn"/>
        </w:rPr>
        <w:t>diagram outlin</w:t>
      </w:r>
      <w:r w:rsidR="004A0C39">
        <w:rPr>
          <w:rStyle w:val="PLATE-AbstractZchn"/>
        </w:rPr>
        <w:t>ing</w:t>
      </w:r>
      <w:r w:rsidR="004A0C39" w:rsidRPr="00CD0CBF">
        <w:rPr>
          <w:rStyle w:val="PLATE-AbstractZchn"/>
        </w:rPr>
        <w:t xml:space="preserve"> the definition of reuse</w:t>
      </w:r>
      <w:r w:rsidR="004A0C39">
        <w:rPr>
          <w:rStyle w:val="PLATE-AbstractZchn"/>
        </w:rPr>
        <w:t xml:space="preserve">, </w:t>
      </w:r>
      <w:r w:rsidR="004A0C39" w:rsidRPr="00CD0CBF">
        <w:rPr>
          <w:rStyle w:val="PLATE-AbstractZchn"/>
        </w:rPr>
        <w:t xml:space="preserve">how reuse happens at different levels in Ireland and </w:t>
      </w:r>
      <w:r w:rsidR="004A0C39">
        <w:rPr>
          <w:rStyle w:val="PLATE-AbstractZchn"/>
        </w:rPr>
        <w:t xml:space="preserve">the different </w:t>
      </w:r>
      <w:r w:rsidR="004A0C39" w:rsidRPr="00EE5E1C">
        <w:rPr>
          <w:rStyle w:val="PLATE-AbstractZchn"/>
          <w:color w:val="000000" w:themeColor="text1"/>
        </w:rPr>
        <w:t xml:space="preserve">classifications of practitioners involved </w:t>
      </w:r>
      <w:r w:rsidRPr="00EE5E1C">
        <w:rPr>
          <w:rStyle w:val="PLATE-AbstractZchn"/>
          <w:color w:val="000000" w:themeColor="text1"/>
        </w:rPr>
        <w:t>(see Figure 1)</w:t>
      </w:r>
      <w:r w:rsidR="00CD0CBF" w:rsidRPr="00EE5E1C">
        <w:rPr>
          <w:rStyle w:val="PLATE-AbstractZchn"/>
          <w:color w:val="000000" w:themeColor="text1"/>
        </w:rPr>
        <w:t>.</w:t>
      </w:r>
      <w:r w:rsidR="007E3D43" w:rsidRPr="00EE5E1C">
        <w:rPr>
          <w:rStyle w:val="PLATE-AbstractZchn"/>
          <w:color w:val="000000" w:themeColor="text1"/>
        </w:rPr>
        <w:t xml:space="preserve"> The main steps in the qualitative </w:t>
      </w:r>
      <w:r w:rsidR="00F84120" w:rsidRPr="00EE5E1C">
        <w:rPr>
          <w:rStyle w:val="PLATE-AbstractZchn"/>
          <w:color w:val="000000" w:themeColor="text1"/>
        </w:rPr>
        <w:t>assess</w:t>
      </w:r>
      <w:r w:rsidR="007E3D43" w:rsidRPr="00EE5E1C">
        <w:rPr>
          <w:rStyle w:val="PLATE-AbstractZchn"/>
          <w:color w:val="000000" w:themeColor="text1"/>
        </w:rPr>
        <w:t>ment of reuse in Ireland were:</w:t>
      </w:r>
    </w:p>
    <w:p w14:paraId="1916520D" w14:textId="77777777" w:rsidR="009A09E0" w:rsidRPr="00EE5E1C" w:rsidRDefault="009A09E0" w:rsidP="007E3D43">
      <w:pPr>
        <w:pStyle w:val="PLATE-Text"/>
        <w:rPr>
          <w:rStyle w:val="PLATE-AbstractZchn"/>
          <w:color w:val="000000" w:themeColor="text1"/>
        </w:rPr>
      </w:pPr>
    </w:p>
    <w:p w14:paraId="59F0A5A7" w14:textId="77777777" w:rsidR="00EE5E1C" w:rsidRPr="00EE5E1C" w:rsidRDefault="00EE5E1C" w:rsidP="00EE5E1C">
      <w:pPr>
        <w:pStyle w:val="PLATE-Text"/>
        <w:numPr>
          <w:ilvl w:val="0"/>
          <w:numId w:val="6"/>
        </w:numPr>
        <w:rPr>
          <w:rStyle w:val="PLATE-AbstractZchn"/>
          <w:color w:val="000000" w:themeColor="text1"/>
        </w:rPr>
      </w:pPr>
      <w:r w:rsidRPr="00EE5E1C">
        <w:rPr>
          <w:rStyle w:val="PLATE-AbstractZchn"/>
          <w:color w:val="000000" w:themeColor="text1"/>
        </w:rPr>
        <w:t>Determining a definition for reuse</w:t>
      </w:r>
    </w:p>
    <w:p w14:paraId="000FF09B" w14:textId="77777777" w:rsidR="00EE5E1C" w:rsidRPr="00EE5E1C" w:rsidRDefault="00EE5E1C" w:rsidP="00EE5E1C">
      <w:pPr>
        <w:pStyle w:val="PLATE-Text"/>
        <w:numPr>
          <w:ilvl w:val="0"/>
          <w:numId w:val="6"/>
        </w:numPr>
        <w:rPr>
          <w:rStyle w:val="PLATE-AbstractZchn"/>
          <w:color w:val="000000" w:themeColor="text1"/>
        </w:rPr>
      </w:pPr>
      <w:r w:rsidRPr="00EE5E1C">
        <w:rPr>
          <w:rStyle w:val="PLATE-AbstractZchn"/>
          <w:color w:val="000000" w:themeColor="text1"/>
        </w:rPr>
        <w:t>Creating a reuse decision tree and flowchart diagram</w:t>
      </w:r>
    </w:p>
    <w:p w14:paraId="7E8E243A" w14:textId="77777777" w:rsidR="00EE5E1C" w:rsidRPr="00EE5E1C" w:rsidRDefault="00EE5E1C" w:rsidP="00EE5E1C">
      <w:pPr>
        <w:pStyle w:val="PLATE-Text"/>
        <w:numPr>
          <w:ilvl w:val="0"/>
          <w:numId w:val="6"/>
        </w:numPr>
        <w:rPr>
          <w:rStyle w:val="PLATE-AbstractZchn"/>
          <w:color w:val="000000" w:themeColor="text1"/>
        </w:rPr>
      </w:pPr>
      <w:r w:rsidRPr="00EE5E1C">
        <w:rPr>
          <w:rStyle w:val="PLATE-AbstractZchn"/>
          <w:color w:val="000000" w:themeColor="text1"/>
        </w:rPr>
        <w:t>Building a database to catalogue reuse practitioners in Ireland</w:t>
      </w:r>
    </w:p>
    <w:p w14:paraId="5F1166EB" w14:textId="77777777" w:rsidR="007E3D43" w:rsidRPr="00EE5E1C" w:rsidRDefault="007E3D43" w:rsidP="007E3D43">
      <w:pPr>
        <w:pStyle w:val="PLATE-Text"/>
        <w:rPr>
          <w:rStyle w:val="PLATE-AbstractZchn"/>
          <w:color w:val="000000" w:themeColor="text1"/>
        </w:rPr>
      </w:pPr>
    </w:p>
    <w:p w14:paraId="572427F6" w14:textId="6712B508" w:rsidR="00351440" w:rsidRDefault="00B50272" w:rsidP="007E3D43">
      <w:pPr>
        <w:pStyle w:val="PLATE-Text"/>
        <w:rPr>
          <w:rStyle w:val="PLATE-AbstractZchn"/>
        </w:rPr>
      </w:pPr>
      <w:r w:rsidRPr="00EE5E1C">
        <w:rPr>
          <w:rStyle w:val="PLATE-AbstractZchn"/>
          <w:color w:val="000000" w:themeColor="text1"/>
        </w:rPr>
        <w:t xml:space="preserve">The </w:t>
      </w:r>
      <w:r w:rsidR="00F84120" w:rsidRPr="00EE5E1C">
        <w:rPr>
          <w:rStyle w:val="PLATE-AbstractZchn"/>
          <w:color w:val="000000" w:themeColor="text1"/>
        </w:rPr>
        <w:t xml:space="preserve">flowchart </w:t>
      </w:r>
      <w:r w:rsidR="00F84120">
        <w:rPr>
          <w:rStyle w:val="PLATE-AbstractZchn"/>
        </w:rPr>
        <w:t xml:space="preserve">was initially used </w:t>
      </w:r>
      <w:r>
        <w:rPr>
          <w:rStyle w:val="PLATE-AbstractZchn"/>
        </w:rPr>
        <w:t xml:space="preserve">to </w:t>
      </w:r>
      <w:r w:rsidRPr="00B50272">
        <w:rPr>
          <w:rStyle w:val="PLATE-AbstractZchn"/>
        </w:rPr>
        <w:t>establish whether a material is classified as ‘reuse’ or ‘waste’.</w:t>
      </w:r>
      <w:r w:rsidR="00F84120">
        <w:rPr>
          <w:rStyle w:val="PLATE-AbstractZchn"/>
        </w:rPr>
        <w:t xml:space="preserve"> </w:t>
      </w:r>
      <w:r w:rsidR="00F84120" w:rsidRPr="00B50272">
        <w:rPr>
          <w:rStyle w:val="PLATE-AbstractZchn"/>
        </w:rPr>
        <w:t>A key criterion</w:t>
      </w:r>
      <w:r w:rsidR="00F84120">
        <w:rPr>
          <w:rStyle w:val="PLATE-AbstractZchn"/>
        </w:rPr>
        <w:t xml:space="preserve"> for this</w:t>
      </w:r>
      <w:r w:rsidR="00F84120" w:rsidRPr="00B50272">
        <w:rPr>
          <w:rStyle w:val="PLATE-AbstractZchn"/>
        </w:rPr>
        <w:t xml:space="preserve"> is whether there is an intention to discard the material </w:t>
      </w:r>
      <w:r w:rsidR="00F84120">
        <w:rPr>
          <w:rStyle w:val="PLATE-AbstractZchn"/>
        </w:rPr>
        <w:t>or</w:t>
      </w:r>
      <w:r w:rsidR="00F84120" w:rsidRPr="00B50272">
        <w:rPr>
          <w:rStyle w:val="PLATE-AbstractZchn"/>
        </w:rPr>
        <w:t xml:space="preserve"> whether it is intended to reuse/exchange this material for its original purpose (even if some checking, cleaning or repair is required).</w:t>
      </w:r>
      <w:r w:rsidR="00F84120">
        <w:rPr>
          <w:rStyle w:val="PLATE-AbstractZchn"/>
        </w:rPr>
        <w:t xml:space="preserve"> The next main consideration</w:t>
      </w:r>
      <w:r w:rsidR="00F84120" w:rsidRPr="00B50F94">
        <w:rPr>
          <w:rStyle w:val="PLATE-AbstractZchn"/>
        </w:rPr>
        <w:t xml:space="preserve"> </w:t>
      </w:r>
      <w:r w:rsidR="00F84120">
        <w:rPr>
          <w:rStyle w:val="PLATE-AbstractZchn"/>
        </w:rPr>
        <w:t>with</w:t>
      </w:r>
      <w:r w:rsidR="00F84120" w:rsidRPr="00B50F94">
        <w:rPr>
          <w:rStyle w:val="PLATE-AbstractZchn"/>
        </w:rPr>
        <w:t xml:space="preserve">in the scope of the </w:t>
      </w:r>
      <w:r w:rsidR="00F84120">
        <w:rPr>
          <w:rStyle w:val="PLATE-AbstractZchn"/>
        </w:rPr>
        <w:t>Q2Reuse research</w:t>
      </w:r>
      <w:r w:rsidR="00F84120" w:rsidRPr="00B50F94">
        <w:rPr>
          <w:rStyle w:val="PLATE-AbstractZchn"/>
        </w:rPr>
        <w:t xml:space="preserve"> </w:t>
      </w:r>
      <w:r w:rsidR="00F84120">
        <w:rPr>
          <w:rStyle w:val="PLATE-AbstractZchn"/>
        </w:rPr>
        <w:t>project was</w:t>
      </w:r>
      <w:r w:rsidR="00F84120" w:rsidRPr="00B50F94">
        <w:rPr>
          <w:rStyle w:val="PLATE-AbstractZchn"/>
        </w:rPr>
        <w:t xml:space="preserve"> whether that activity </w:t>
      </w:r>
      <w:r w:rsidR="00F84120">
        <w:rPr>
          <w:rStyle w:val="PLATE-AbstractZchn"/>
        </w:rPr>
        <w:t>would</w:t>
      </w:r>
      <w:r w:rsidR="00F84120" w:rsidRPr="00B50F94">
        <w:rPr>
          <w:rStyle w:val="PLATE-AbstractZchn"/>
        </w:rPr>
        <w:t xml:space="preserve"> be impacted by setting a target. </w:t>
      </w:r>
      <w:r w:rsidRPr="00B50272">
        <w:rPr>
          <w:rStyle w:val="PLATE-AbstractZchn"/>
        </w:rPr>
        <w:t xml:space="preserve"> </w:t>
      </w:r>
      <w:r w:rsidR="007C7EB4" w:rsidRPr="003718BA">
        <w:rPr>
          <w:rStyle w:val="PLATE-AbstractZchn"/>
        </w:rPr>
        <w:t xml:space="preserve">Informal reuse between individuals is unlikely to be influenced by targets and as such, it </w:t>
      </w:r>
      <w:r w:rsidR="007C7EB4">
        <w:rPr>
          <w:rStyle w:val="PLATE-AbstractZchn"/>
        </w:rPr>
        <w:t>was not included in the research.</w:t>
      </w:r>
      <w:r w:rsidR="00351440">
        <w:rPr>
          <w:rStyle w:val="PLATE-AbstractZchn"/>
        </w:rPr>
        <w:t xml:space="preserve"> </w:t>
      </w:r>
      <w:r w:rsidR="00325778">
        <w:rPr>
          <w:rStyle w:val="PLATE-AbstractZchn"/>
        </w:rPr>
        <w:t xml:space="preserve">Subsequent to these decisions, the flowchart was used to map the different routes by which materials are reused within society. From this mapping it was apparent that </w:t>
      </w:r>
      <w:r w:rsidR="00325778" w:rsidRPr="00DB138E">
        <w:rPr>
          <w:rStyle w:val="PLATE-AbstractZchn"/>
        </w:rPr>
        <w:t xml:space="preserve">the most appropriate point of measurement for reuse is at the final point of sale or exchange, as this is the ultimate point of transfer from one user to the next. </w:t>
      </w:r>
      <w:r w:rsidR="00DB138E" w:rsidRPr="00DB138E">
        <w:rPr>
          <w:rStyle w:val="PLATE-AbstractZchn"/>
        </w:rPr>
        <w:t xml:space="preserve">This decision was informed by the </w:t>
      </w:r>
      <w:proofErr w:type="spellStart"/>
      <w:r w:rsidR="00DB138E" w:rsidRPr="00DB138E">
        <w:rPr>
          <w:rStyle w:val="PLATE-AbstractZchn"/>
        </w:rPr>
        <w:t>Oko-Institut’s</w:t>
      </w:r>
      <w:proofErr w:type="spellEnd"/>
      <w:r w:rsidR="00DB138E" w:rsidRPr="00DB138E">
        <w:rPr>
          <w:rStyle w:val="PLATE-AbstractZchn"/>
        </w:rPr>
        <w:t xml:space="preserve"> work on </w:t>
      </w:r>
      <w:r w:rsidR="00DB138E" w:rsidRPr="00DB138E">
        <w:rPr>
          <w:rStyle w:val="PLATE-AbstractZchn"/>
        </w:rPr>
        <w:lastRenderedPageBreak/>
        <w:t>providing a methodology to report national reuse data to the European Union and previous work by RREUSE on how to measure preparation for reuse. The r</w:t>
      </w:r>
      <w:r w:rsidR="005E0538">
        <w:rPr>
          <w:rStyle w:val="PLATE-AbstractZchn"/>
        </w:rPr>
        <w:t xml:space="preserve">ationale </w:t>
      </w:r>
      <w:r w:rsidR="00DB138E" w:rsidRPr="00DB138E">
        <w:rPr>
          <w:rStyle w:val="PLATE-AbstractZchn"/>
        </w:rPr>
        <w:t xml:space="preserve"> for collecting data at the final point of sale / exchange rather than at interim points or at the initial point of collection is that collected items, particularly textiles, can be exported for reuse. </w:t>
      </w:r>
      <w:r w:rsidR="00325778" w:rsidRPr="00DB138E">
        <w:rPr>
          <w:rStyle w:val="PLATE-AbstractZchn"/>
        </w:rPr>
        <w:t xml:space="preserve">However, as this work is concerned with measuring reuse in Ireland, targeting the final point </w:t>
      </w:r>
      <w:r w:rsidR="00325778" w:rsidRPr="00487082">
        <w:rPr>
          <w:rStyle w:val="PLATE-AbstractZchn"/>
          <w:color w:val="000000" w:themeColor="text1"/>
        </w:rPr>
        <w:t xml:space="preserve">of </w:t>
      </w:r>
      <w:r w:rsidR="00487082" w:rsidRPr="00487082">
        <w:rPr>
          <w:rStyle w:val="PLATE-AbstractZchn"/>
          <w:color w:val="000000" w:themeColor="text1"/>
        </w:rPr>
        <w:t xml:space="preserve">sale/exchange </w:t>
      </w:r>
      <w:r w:rsidR="00325778" w:rsidRPr="00487082">
        <w:rPr>
          <w:rStyle w:val="PLATE-AbstractZchn"/>
          <w:color w:val="000000" w:themeColor="text1"/>
        </w:rPr>
        <w:t xml:space="preserve">ensures </w:t>
      </w:r>
      <w:r w:rsidR="00325778" w:rsidRPr="00DB138E">
        <w:rPr>
          <w:rStyle w:val="PLATE-AbstractZchn"/>
        </w:rPr>
        <w:t xml:space="preserve">that exported items are not included. Additionally, double accounting is avoided through setting the measurement point at the final point of sale / exchange rather than at interim transfer points (e.g. donation to a charity). </w:t>
      </w:r>
      <w:r w:rsidR="00325778">
        <w:rPr>
          <w:rStyle w:val="PLATE-AbstractZchn"/>
        </w:rPr>
        <w:t>The</w:t>
      </w:r>
      <w:r w:rsidR="00325778" w:rsidRPr="00E55432">
        <w:rPr>
          <w:rStyle w:val="PLATE-AbstractZchn"/>
        </w:rPr>
        <w:t xml:space="preserve"> mapping exercise </w:t>
      </w:r>
      <w:r w:rsidR="00325778">
        <w:rPr>
          <w:rStyle w:val="PLATE-AbstractZchn"/>
        </w:rPr>
        <w:t>made it</w:t>
      </w:r>
      <w:r w:rsidR="00325778" w:rsidRPr="00E55432">
        <w:rPr>
          <w:rStyle w:val="PLATE-AbstractZchn"/>
        </w:rPr>
        <w:t xml:space="preserve"> clear that, no matter how much granularity w</w:t>
      </w:r>
      <w:r w:rsidR="00325778">
        <w:rPr>
          <w:rStyle w:val="PLATE-AbstractZchn"/>
        </w:rPr>
        <w:t>as</w:t>
      </w:r>
      <w:r w:rsidR="00325778" w:rsidRPr="00E55432">
        <w:rPr>
          <w:rStyle w:val="PLATE-AbstractZchn"/>
        </w:rPr>
        <w:t xml:space="preserve"> </w:t>
      </w:r>
      <w:r w:rsidR="00120A53">
        <w:rPr>
          <w:rStyle w:val="PLATE-AbstractZchn"/>
        </w:rPr>
        <w:t>explor</w:t>
      </w:r>
      <w:r w:rsidR="00325778" w:rsidRPr="00E55432">
        <w:rPr>
          <w:rStyle w:val="PLATE-AbstractZchn"/>
        </w:rPr>
        <w:t xml:space="preserve">ed, there would always be exceptions. Therefore, </w:t>
      </w:r>
      <w:r w:rsidR="00325778">
        <w:rPr>
          <w:rStyle w:val="PLATE-AbstractZchn"/>
        </w:rPr>
        <w:t>it was</w:t>
      </w:r>
      <w:r w:rsidR="00325778" w:rsidRPr="00E55432">
        <w:rPr>
          <w:rStyle w:val="PLATE-AbstractZchn"/>
        </w:rPr>
        <w:t xml:space="preserve"> de</w:t>
      </w:r>
      <w:r w:rsidR="00325778">
        <w:rPr>
          <w:rStyle w:val="PLATE-AbstractZchn"/>
        </w:rPr>
        <w:t>cid</w:t>
      </w:r>
      <w:r w:rsidR="00325778" w:rsidRPr="00E55432">
        <w:rPr>
          <w:rStyle w:val="PLATE-AbstractZchn"/>
        </w:rPr>
        <w:t xml:space="preserve">ed that the flowchart should represent </w:t>
      </w:r>
      <w:r w:rsidR="00325778">
        <w:rPr>
          <w:rStyle w:val="PLATE-AbstractZchn"/>
        </w:rPr>
        <w:t xml:space="preserve">‘business as usual’ </w:t>
      </w:r>
      <w:r w:rsidR="00325778" w:rsidRPr="00E55432">
        <w:rPr>
          <w:rStyle w:val="PLATE-AbstractZchn"/>
        </w:rPr>
        <w:t xml:space="preserve">and any </w:t>
      </w:r>
      <w:r w:rsidR="00325778">
        <w:rPr>
          <w:rStyle w:val="PLATE-AbstractZchn"/>
        </w:rPr>
        <w:t xml:space="preserve">important </w:t>
      </w:r>
      <w:r w:rsidR="00325778" w:rsidRPr="00E55432">
        <w:rPr>
          <w:rStyle w:val="PLATE-AbstractZchn"/>
        </w:rPr>
        <w:t>exceptions or explanations would be note</w:t>
      </w:r>
      <w:r w:rsidR="00325778">
        <w:rPr>
          <w:rStyle w:val="PLATE-AbstractZchn"/>
        </w:rPr>
        <w:t>d accordingly</w:t>
      </w:r>
      <w:r w:rsidR="00325778" w:rsidRPr="00E55432">
        <w:rPr>
          <w:rStyle w:val="PLATE-AbstractZchn"/>
        </w:rPr>
        <w:t>.</w:t>
      </w:r>
    </w:p>
    <w:p w14:paraId="00F23040" w14:textId="6631B7E0" w:rsidR="00756395" w:rsidRDefault="00756395" w:rsidP="007E3D43">
      <w:pPr>
        <w:pStyle w:val="PLATE-Text"/>
        <w:rPr>
          <w:rStyle w:val="PLATE-AbstractZchn"/>
        </w:rPr>
      </w:pPr>
    </w:p>
    <w:p w14:paraId="5E0DCE88" w14:textId="2FAACFA5" w:rsidR="00756395" w:rsidRDefault="00756395" w:rsidP="00756395">
      <w:pPr>
        <w:pStyle w:val="PLATE-Text"/>
        <w:rPr>
          <w:rStyle w:val="PLATE-AbstractZchn"/>
        </w:rPr>
      </w:pPr>
      <w:r w:rsidRPr="004A3BE1">
        <w:rPr>
          <w:rStyle w:val="PLATE-AbstractZchn"/>
        </w:rPr>
        <w:t>Based on th</w:t>
      </w:r>
      <w:r>
        <w:rPr>
          <w:rStyle w:val="PLATE-AbstractZchn"/>
        </w:rPr>
        <w:t>e</w:t>
      </w:r>
      <w:r w:rsidRPr="004A3BE1">
        <w:rPr>
          <w:rStyle w:val="PLATE-AbstractZchn"/>
        </w:rPr>
        <w:t xml:space="preserve"> </w:t>
      </w:r>
      <w:r w:rsidR="00F90464">
        <w:rPr>
          <w:rStyle w:val="PLATE-AbstractZchn"/>
        </w:rPr>
        <w:t xml:space="preserve">mapping of reuse outlined </w:t>
      </w:r>
      <w:r>
        <w:rPr>
          <w:rStyle w:val="PLATE-AbstractZchn"/>
        </w:rPr>
        <w:t>in the flowchart</w:t>
      </w:r>
      <w:r w:rsidR="00120A53">
        <w:rPr>
          <w:rStyle w:val="PLATE-AbstractZchn"/>
        </w:rPr>
        <w:t xml:space="preserve"> and the different reuse p</w:t>
      </w:r>
      <w:r w:rsidR="00F90464">
        <w:rPr>
          <w:rStyle w:val="PLATE-AbstractZchn"/>
        </w:rPr>
        <w:t>ractitioner</w:t>
      </w:r>
      <w:r w:rsidR="00120A53">
        <w:rPr>
          <w:rStyle w:val="PLATE-AbstractZchn"/>
        </w:rPr>
        <w:t>s identified</w:t>
      </w:r>
      <w:r w:rsidRPr="004A3BE1">
        <w:rPr>
          <w:rStyle w:val="PLATE-AbstractZchn"/>
        </w:rPr>
        <w:t xml:space="preserve">, the team created a </w:t>
      </w:r>
      <w:r>
        <w:rPr>
          <w:rStyle w:val="PLATE-AbstractZchn"/>
        </w:rPr>
        <w:t>database</w:t>
      </w:r>
      <w:r w:rsidRPr="004A3BE1">
        <w:rPr>
          <w:rStyle w:val="PLATE-AbstractZchn"/>
        </w:rPr>
        <w:t xml:space="preserve"> to catalogue </w:t>
      </w:r>
      <w:r w:rsidR="00F90464">
        <w:rPr>
          <w:rStyle w:val="PLATE-AbstractZchn"/>
        </w:rPr>
        <w:t xml:space="preserve">those involved in reuse </w:t>
      </w:r>
      <w:r w:rsidRPr="004A3BE1">
        <w:rPr>
          <w:rStyle w:val="PLATE-AbstractZchn"/>
        </w:rPr>
        <w:t xml:space="preserve">across </w:t>
      </w:r>
      <w:r w:rsidR="00487082">
        <w:rPr>
          <w:rStyle w:val="PLATE-AbstractZchn"/>
        </w:rPr>
        <w:t>Ireland</w:t>
      </w:r>
      <w:r w:rsidRPr="004A3BE1">
        <w:rPr>
          <w:rStyle w:val="PLATE-AbstractZchn"/>
        </w:rPr>
        <w:t xml:space="preserve">. </w:t>
      </w:r>
      <w:r w:rsidRPr="00383D6D">
        <w:rPr>
          <w:rStyle w:val="PLATE-AbstractZchn"/>
        </w:rPr>
        <w:t xml:space="preserve">Inclusion in this database followed the rationale behind the flowchart </w:t>
      </w:r>
      <w:r>
        <w:rPr>
          <w:rStyle w:val="PLATE-AbstractZchn"/>
        </w:rPr>
        <w:t>so</w:t>
      </w:r>
      <w:r w:rsidRPr="00383D6D">
        <w:rPr>
          <w:rStyle w:val="PLATE-AbstractZchn"/>
        </w:rPr>
        <w:t xml:space="preserve">, for example, it was agreed that sharing schemes and rental (e.g. libraries, library of things, clothing rental, reuse of cups for events/festivals, etc.) would be excluded from the database because, although these initiatives are important, they do not fit the definition of reuse as </w:t>
      </w:r>
      <w:r w:rsidR="00926B1B">
        <w:rPr>
          <w:rStyle w:val="PLATE-AbstractZchn"/>
        </w:rPr>
        <w:t xml:space="preserve">a </w:t>
      </w:r>
      <w:r w:rsidRPr="00383D6D">
        <w:rPr>
          <w:rStyle w:val="PLATE-AbstractZchn"/>
        </w:rPr>
        <w:t>change of ownership does not take place.</w:t>
      </w:r>
      <w:r>
        <w:rPr>
          <w:rStyle w:val="PLATE-AbstractZchn"/>
        </w:rPr>
        <w:t xml:space="preserve"> </w:t>
      </w:r>
      <w:r w:rsidRPr="00F90464">
        <w:rPr>
          <w:rStyle w:val="PLATE-AbstractZchn"/>
        </w:rPr>
        <w:t xml:space="preserve">This database </w:t>
      </w:r>
      <w:r w:rsidR="00F90464" w:rsidRPr="00F90464">
        <w:rPr>
          <w:rStyle w:val="PLATE-AbstractZchn"/>
        </w:rPr>
        <w:t>organised reuse practitioners according to</w:t>
      </w:r>
      <w:r w:rsidRPr="00F90464">
        <w:rPr>
          <w:rStyle w:val="PLATE-AbstractZchn"/>
        </w:rPr>
        <w:t xml:space="preserve"> </w:t>
      </w:r>
      <w:r w:rsidR="00D53384">
        <w:rPr>
          <w:rStyle w:val="PLATE-AbstractZchn"/>
        </w:rPr>
        <w:t>eight</w:t>
      </w:r>
      <w:r w:rsidR="00F90464" w:rsidRPr="00F90464">
        <w:rPr>
          <w:rStyle w:val="PLATE-AbstractZchn"/>
        </w:rPr>
        <w:t xml:space="preserve"> </w:t>
      </w:r>
      <w:r w:rsidRPr="00F90464">
        <w:rPr>
          <w:rStyle w:val="PLATE-AbstractZchn"/>
        </w:rPr>
        <w:t xml:space="preserve"> broad categories </w:t>
      </w:r>
      <w:r w:rsidR="00F90464" w:rsidRPr="00F90464">
        <w:rPr>
          <w:rStyle w:val="PLATE-AbstractZchn"/>
        </w:rPr>
        <w:t>(</w:t>
      </w:r>
      <w:r w:rsidR="004053E7">
        <w:rPr>
          <w:rStyle w:val="PLATE-AbstractZchn"/>
        </w:rPr>
        <w:t xml:space="preserve">including organisational information, contact details, materials handled, sources of materials, interim activities such as repair, the primary point of sale/exchange, information regarding measurement and metrics, and other comments). </w:t>
      </w:r>
    </w:p>
    <w:p w14:paraId="52B915BD" w14:textId="77777777" w:rsidR="00756395" w:rsidRDefault="00756395" w:rsidP="00756395">
      <w:pPr>
        <w:pStyle w:val="PLATE-Text"/>
        <w:rPr>
          <w:rStyle w:val="PLATE-AbstractZchn"/>
        </w:rPr>
      </w:pPr>
    </w:p>
    <w:p w14:paraId="12E91804" w14:textId="0A20E98F" w:rsidR="00351440" w:rsidRDefault="005203DF" w:rsidP="007E3D43">
      <w:pPr>
        <w:pStyle w:val="PLATE-Text"/>
        <w:rPr>
          <w:rStyle w:val="PLATE-AbstractZchn"/>
        </w:rPr>
      </w:pPr>
      <w:r>
        <w:rPr>
          <w:rStyle w:val="PLATE-AbstractZchn"/>
        </w:rPr>
        <w:t>A</w:t>
      </w:r>
      <w:r w:rsidR="00756395" w:rsidRPr="00A1018F">
        <w:rPr>
          <w:rStyle w:val="PLATE-AbstractZchn"/>
        </w:rPr>
        <w:t xml:space="preserve"> systematic search approach </w:t>
      </w:r>
      <w:r>
        <w:rPr>
          <w:rStyle w:val="PLATE-AbstractZchn"/>
        </w:rPr>
        <w:t xml:space="preserve">was employed </w:t>
      </w:r>
      <w:r w:rsidR="00756395" w:rsidRPr="00A1018F">
        <w:rPr>
          <w:rStyle w:val="PLATE-AbstractZchn"/>
        </w:rPr>
        <w:t>(involving direct internet searches as well as searches across a number of social media channels), t</w:t>
      </w:r>
      <w:r w:rsidR="008217E0">
        <w:rPr>
          <w:rStyle w:val="PLATE-AbstractZchn"/>
        </w:rPr>
        <w:t>o populate the</w:t>
      </w:r>
      <w:r w:rsidR="00756395" w:rsidRPr="00A1018F">
        <w:rPr>
          <w:rStyle w:val="PLATE-AbstractZchn"/>
        </w:rPr>
        <w:t xml:space="preserve"> database</w:t>
      </w:r>
      <w:r w:rsidR="008217E0">
        <w:rPr>
          <w:rStyle w:val="PLATE-AbstractZchn"/>
        </w:rPr>
        <w:t xml:space="preserve">. </w:t>
      </w:r>
      <w:r w:rsidR="00756395">
        <w:rPr>
          <w:rStyle w:val="PLATE-AbstractZchn"/>
        </w:rPr>
        <w:t xml:space="preserve">Additionally, </w:t>
      </w:r>
      <w:r w:rsidR="00756395" w:rsidRPr="009A09E0">
        <w:rPr>
          <w:rStyle w:val="PLATE-AbstractZchn"/>
        </w:rPr>
        <w:t>input</w:t>
      </w:r>
      <w:r w:rsidR="00CA4CD1">
        <w:rPr>
          <w:rStyle w:val="PLATE-AbstractZchn"/>
        </w:rPr>
        <w:t>s</w:t>
      </w:r>
      <w:r w:rsidR="00756395" w:rsidRPr="009A09E0">
        <w:rPr>
          <w:rStyle w:val="PLATE-AbstractZchn"/>
        </w:rPr>
        <w:t xml:space="preserve"> from the Community Resources Network Ireland membership, Irish Charity Shops Association and the Rediscovery</w:t>
      </w:r>
      <w:r w:rsidR="00926B1B">
        <w:rPr>
          <w:rStyle w:val="PLATE-AbstractZchn"/>
        </w:rPr>
        <w:t xml:space="preserve"> </w:t>
      </w:r>
      <w:r w:rsidR="00756395" w:rsidRPr="009A09E0">
        <w:rPr>
          <w:rStyle w:val="PLATE-AbstractZchn"/>
        </w:rPr>
        <w:t>Centre Circular</w:t>
      </w:r>
      <w:r w:rsidR="00926B1B">
        <w:rPr>
          <w:rStyle w:val="PLATE-AbstractZchn"/>
        </w:rPr>
        <w:t xml:space="preserve"> </w:t>
      </w:r>
      <w:r w:rsidR="00756395" w:rsidRPr="009A09E0">
        <w:rPr>
          <w:rStyle w:val="PLATE-AbstractZchn"/>
        </w:rPr>
        <w:t xml:space="preserve">Economy Academy were </w:t>
      </w:r>
      <w:r w:rsidR="00756395">
        <w:rPr>
          <w:rStyle w:val="PLATE-AbstractZchn"/>
        </w:rPr>
        <w:t>utilised.</w:t>
      </w:r>
      <w:r w:rsidR="00926B1B">
        <w:rPr>
          <w:rStyle w:val="PLATE-AbstractZchn"/>
        </w:rPr>
        <w:t xml:space="preserve"> </w:t>
      </w:r>
      <w:r w:rsidR="00756395" w:rsidRPr="009A09E0">
        <w:rPr>
          <w:rStyle w:val="PLATE-AbstractZchn"/>
        </w:rPr>
        <w:t>Google search</w:t>
      </w:r>
      <w:r w:rsidR="00756395">
        <w:rPr>
          <w:rStyle w:val="PLATE-AbstractZchn"/>
        </w:rPr>
        <w:t>es</w:t>
      </w:r>
      <w:r w:rsidR="00756395" w:rsidRPr="009A09E0">
        <w:rPr>
          <w:rStyle w:val="PLATE-AbstractZchn"/>
        </w:rPr>
        <w:t xml:space="preserve"> and Facebook search</w:t>
      </w:r>
      <w:r w:rsidR="00756395">
        <w:rPr>
          <w:rStyle w:val="PLATE-AbstractZchn"/>
        </w:rPr>
        <w:t>es</w:t>
      </w:r>
      <w:r w:rsidR="00756395" w:rsidRPr="009A09E0">
        <w:rPr>
          <w:rStyle w:val="PLATE-AbstractZchn"/>
        </w:rPr>
        <w:t xml:space="preserve"> yielded the largest amount of results, with Etsy and Twitter providing</w:t>
      </w:r>
      <w:r w:rsidR="008217E0">
        <w:rPr>
          <w:rStyle w:val="PLATE-AbstractZchn"/>
        </w:rPr>
        <w:t xml:space="preserve"> a small number </w:t>
      </w:r>
      <w:r w:rsidR="008217E0">
        <w:rPr>
          <w:rStyle w:val="PLATE-AbstractZchn"/>
        </w:rPr>
        <w:t>of</w:t>
      </w:r>
      <w:r w:rsidR="00756395" w:rsidRPr="009A09E0">
        <w:rPr>
          <w:rStyle w:val="PLATE-AbstractZchn"/>
        </w:rPr>
        <w:t xml:space="preserve"> additional </w:t>
      </w:r>
      <w:r w:rsidR="008217E0">
        <w:rPr>
          <w:rStyle w:val="PLATE-AbstractZchn"/>
        </w:rPr>
        <w:t>entrie</w:t>
      </w:r>
      <w:r w:rsidR="00756395" w:rsidRPr="009A09E0">
        <w:rPr>
          <w:rStyle w:val="PLATE-AbstractZchn"/>
        </w:rPr>
        <w:t>s.</w:t>
      </w:r>
      <w:r w:rsidR="00756395">
        <w:rPr>
          <w:rStyle w:val="PLATE-AbstractZchn"/>
        </w:rPr>
        <w:t xml:space="preserve"> </w:t>
      </w:r>
      <w:r w:rsidR="00756395" w:rsidRPr="009A09E0">
        <w:rPr>
          <w:rStyle w:val="PLATE-AbstractZchn"/>
        </w:rPr>
        <w:t xml:space="preserve">The research team also found a large amount of reuse and private sales through online platforms such as Depop and Instagram, as well as through </w:t>
      </w:r>
      <w:r w:rsidR="00487082">
        <w:rPr>
          <w:rStyle w:val="PLATE-AbstractZchn"/>
        </w:rPr>
        <w:t xml:space="preserve">online </w:t>
      </w:r>
      <w:r w:rsidR="00756395" w:rsidRPr="009A09E0">
        <w:rPr>
          <w:rStyle w:val="PLATE-AbstractZchn"/>
        </w:rPr>
        <w:t xml:space="preserve">marketplaces such as Adverts and </w:t>
      </w:r>
      <w:proofErr w:type="spellStart"/>
      <w:r w:rsidR="00756395" w:rsidRPr="009A09E0">
        <w:rPr>
          <w:rStyle w:val="PLATE-AbstractZchn"/>
        </w:rPr>
        <w:t>DoneDeal</w:t>
      </w:r>
      <w:proofErr w:type="spellEnd"/>
      <w:r w:rsidR="00756395" w:rsidRPr="009A09E0">
        <w:rPr>
          <w:rStyle w:val="PLATE-AbstractZchn"/>
        </w:rPr>
        <w:t xml:space="preserve">. Future revisions of the methodology might place a </w:t>
      </w:r>
      <w:r w:rsidR="00756395">
        <w:rPr>
          <w:rStyle w:val="PLATE-AbstractZchn"/>
        </w:rPr>
        <w:t>great</w:t>
      </w:r>
      <w:r w:rsidR="00756395" w:rsidRPr="009A09E0">
        <w:rPr>
          <w:rStyle w:val="PLATE-AbstractZchn"/>
        </w:rPr>
        <w:t>er focus on online sales and swaps to capture those exchanges.</w:t>
      </w:r>
      <w:r w:rsidR="008217E0">
        <w:rPr>
          <w:rStyle w:val="PLATE-AbstractZchn"/>
        </w:rPr>
        <w:t xml:space="preserve"> </w:t>
      </w:r>
      <w:r w:rsidR="008217E0" w:rsidRPr="009A09E0">
        <w:rPr>
          <w:rStyle w:val="PLATE-AbstractZchn"/>
        </w:rPr>
        <w:t>Throughout the process, the team reviewed exemptions and decided on whether to include practitioners which did not fit the reuse definition with full certainty.</w:t>
      </w:r>
    </w:p>
    <w:p w14:paraId="681CDEC3" w14:textId="369AD7ED" w:rsidR="00756395" w:rsidRDefault="00756395" w:rsidP="007E3D43">
      <w:pPr>
        <w:pStyle w:val="PLATE-Text"/>
        <w:rPr>
          <w:rStyle w:val="PLATE-AbstractZchn"/>
        </w:rPr>
      </w:pPr>
    </w:p>
    <w:p w14:paraId="110C4550" w14:textId="1E86EF47" w:rsidR="005203DF" w:rsidRDefault="00756395" w:rsidP="00756395">
      <w:pPr>
        <w:pStyle w:val="PLATE-Text"/>
        <w:rPr>
          <w:rStyle w:val="PLATE-AbstractZchn"/>
        </w:rPr>
      </w:pPr>
      <w:r w:rsidRPr="004A3BE1">
        <w:rPr>
          <w:rStyle w:val="PLATE-AbstractZchn"/>
        </w:rPr>
        <w:t>The different searches resulted in 1,2</w:t>
      </w:r>
      <w:r w:rsidR="00F21A45">
        <w:rPr>
          <w:rStyle w:val="PLATE-AbstractZchn"/>
        </w:rPr>
        <w:t>73</w:t>
      </w:r>
      <w:r w:rsidRPr="004A3BE1">
        <w:rPr>
          <w:rStyle w:val="PLATE-AbstractZchn"/>
        </w:rPr>
        <w:t xml:space="preserve"> identified reuse practitioners in Ireland</w:t>
      </w:r>
      <w:r w:rsidR="008217E0">
        <w:rPr>
          <w:rStyle w:val="PLATE-AbstractZchn"/>
        </w:rPr>
        <w:t xml:space="preserve">. </w:t>
      </w:r>
      <w:r w:rsidR="005203DF" w:rsidRPr="00A12101">
        <w:rPr>
          <w:rStyle w:val="PLATE-AbstractZchn"/>
        </w:rPr>
        <w:t>T</w:t>
      </w:r>
      <w:r w:rsidR="008217E0">
        <w:rPr>
          <w:rStyle w:val="PLATE-AbstractZchn"/>
        </w:rPr>
        <w:t>hroughout this qualitative investigation, the categories within this database were continually refined and updated</w:t>
      </w:r>
      <w:r w:rsidR="005203DF" w:rsidRPr="00A12101">
        <w:rPr>
          <w:rStyle w:val="PLATE-AbstractZchn"/>
        </w:rPr>
        <w:t xml:space="preserve"> based on barriers encountered during its application and feedback from stakeholders.</w:t>
      </w:r>
      <w:r w:rsidR="008217E0">
        <w:rPr>
          <w:rStyle w:val="PLATE-AbstractZchn"/>
        </w:rPr>
        <w:t xml:space="preserve"> It is important to note that the 1,2</w:t>
      </w:r>
      <w:r w:rsidR="001728A9">
        <w:rPr>
          <w:rStyle w:val="PLATE-AbstractZchn"/>
        </w:rPr>
        <w:t>73</w:t>
      </w:r>
      <w:r w:rsidR="008217E0">
        <w:rPr>
          <w:rStyle w:val="PLATE-AbstractZchn"/>
        </w:rPr>
        <w:t xml:space="preserve"> practitioners identified excludes EEE/WEE</w:t>
      </w:r>
      <w:r w:rsidR="00CA4CD1">
        <w:rPr>
          <w:rStyle w:val="PLATE-AbstractZchn"/>
        </w:rPr>
        <w:t>E</w:t>
      </w:r>
      <w:r w:rsidR="008217E0">
        <w:rPr>
          <w:rStyle w:val="PLATE-AbstractZchn"/>
        </w:rPr>
        <w:t xml:space="preserve"> and</w:t>
      </w:r>
      <w:r w:rsidR="00F21A45">
        <w:rPr>
          <w:rStyle w:val="PLATE-AbstractZchn"/>
        </w:rPr>
        <w:t xml:space="preserve"> food</w:t>
      </w:r>
      <w:r w:rsidR="008217E0">
        <w:rPr>
          <w:rStyle w:val="PLATE-AbstractZchn"/>
        </w:rPr>
        <w:t xml:space="preserve">. </w:t>
      </w:r>
    </w:p>
    <w:p w14:paraId="06336BB5" w14:textId="77777777" w:rsidR="00756395" w:rsidRDefault="00756395" w:rsidP="00756395">
      <w:pPr>
        <w:pStyle w:val="PLATE-Text"/>
        <w:rPr>
          <w:rStyle w:val="PLATE-AbstractZchn"/>
        </w:rPr>
      </w:pPr>
    </w:p>
    <w:p w14:paraId="7DB7A75D" w14:textId="77777777" w:rsidR="00756395" w:rsidRPr="001A3693" w:rsidRDefault="00756395" w:rsidP="001A3693">
      <w:pPr>
        <w:jc w:val="both"/>
        <w:rPr>
          <w:rStyle w:val="PLATE-Subtitle1Zchn"/>
          <w:color w:val="000000" w:themeColor="text1"/>
        </w:rPr>
      </w:pPr>
      <w:r w:rsidRPr="001A3693">
        <w:rPr>
          <w:rStyle w:val="PLATE-Subtitle1Zchn"/>
          <w:color w:val="000000" w:themeColor="text1"/>
        </w:rPr>
        <w:t>Quantitative Methodology</w:t>
      </w:r>
    </w:p>
    <w:p w14:paraId="099C85DD" w14:textId="77777777" w:rsidR="00756395" w:rsidRDefault="00756395" w:rsidP="00756395">
      <w:pPr>
        <w:pStyle w:val="PLATE-Text"/>
        <w:rPr>
          <w:rStyle w:val="PLATE-AbstractZchn"/>
        </w:rPr>
      </w:pPr>
    </w:p>
    <w:p w14:paraId="4DA654EE" w14:textId="53B7DE9A" w:rsidR="00A304AC" w:rsidRDefault="00756395" w:rsidP="00756395">
      <w:pPr>
        <w:pStyle w:val="PLATE-Text"/>
        <w:rPr>
          <w:rStyle w:val="PLATE-AbstractZchn"/>
        </w:rPr>
      </w:pPr>
      <w:r w:rsidRPr="004561D3">
        <w:rPr>
          <w:rStyle w:val="PLATE-AbstractZchn"/>
        </w:rPr>
        <w:t>In order to quantify the reuse sector</w:t>
      </w:r>
      <w:r>
        <w:rPr>
          <w:rStyle w:val="PLATE-AbstractZchn"/>
        </w:rPr>
        <w:t xml:space="preserve">, </w:t>
      </w:r>
      <w:r w:rsidRPr="004561D3">
        <w:rPr>
          <w:rStyle w:val="PLATE-AbstractZchn"/>
        </w:rPr>
        <w:t xml:space="preserve">a quantitative methodology was drafted </w:t>
      </w:r>
      <w:r>
        <w:rPr>
          <w:rStyle w:val="PLATE-AbstractZchn"/>
        </w:rPr>
        <w:t>with</w:t>
      </w:r>
      <w:r w:rsidRPr="004561D3">
        <w:rPr>
          <w:rStyle w:val="PLATE-AbstractZchn"/>
        </w:rPr>
        <w:t xml:space="preserve"> a sampling plan </w:t>
      </w:r>
      <w:r>
        <w:rPr>
          <w:rStyle w:val="PLATE-AbstractZchn"/>
        </w:rPr>
        <w:t xml:space="preserve">(referred to as </w:t>
      </w:r>
      <w:r w:rsidRPr="002E0741">
        <w:rPr>
          <w:rStyle w:val="PLATE-AbstractZchn"/>
        </w:rPr>
        <w:t>Survey A</w:t>
      </w:r>
      <w:r>
        <w:rPr>
          <w:rStyle w:val="PLATE-AbstractZchn"/>
        </w:rPr>
        <w:t xml:space="preserve">) </w:t>
      </w:r>
      <w:r w:rsidRPr="004561D3">
        <w:rPr>
          <w:rStyle w:val="PLATE-AbstractZchn"/>
        </w:rPr>
        <w:t>designed to support it</w:t>
      </w:r>
      <w:r>
        <w:rPr>
          <w:rStyle w:val="PLATE-AbstractZchn"/>
        </w:rPr>
        <w:t xml:space="preserve">. </w:t>
      </w:r>
      <w:r w:rsidRPr="004561D3">
        <w:rPr>
          <w:rStyle w:val="PLATE-AbstractZchn"/>
        </w:rPr>
        <w:t>The sampling plan, based on</w:t>
      </w:r>
      <w:r>
        <w:rPr>
          <w:rStyle w:val="PLATE-AbstractZchn"/>
        </w:rPr>
        <w:t xml:space="preserve"> </w:t>
      </w:r>
      <w:r w:rsidRPr="004561D3">
        <w:rPr>
          <w:rStyle w:val="PLATE-AbstractZchn"/>
        </w:rPr>
        <w:t xml:space="preserve">1,200 entries in the database, </w:t>
      </w:r>
      <w:r w:rsidR="00594F43">
        <w:rPr>
          <w:rStyle w:val="PLATE-AbstractZchn"/>
        </w:rPr>
        <w:t xml:space="preserve">provides a </w:t>
      </w:r>
      <w:r w:rsidRPr="004561D3">
        <w:rPr>
          <w:rStyle w:val="PLATE-AbstractZchn"/>
        </w:rPr>
        <w:t>95% confidence level and a 10% margin of error,</w:t>
      </w:r>
      <w:r w:rsidRPr="004561D3">
        <w:t xml:space="preserve"> </w:t>
      </w:r>
      <w:r w:rsidR="00594F43">
        <w:t>with</w:t>
      </w:r>
      <w:r>
        <w:t xml:space="preserve"> a minimum of </w:t>
      </w:r>
      <w:r>
        <w:rPr>
          <w:rStyle w:val="PLATE-AbstractZchn"/>
        </w:rPr>
        <w:t>90</w:t>
      </w:r>
      <w:r w:rsidRPr="004561D3">
        <w:rPr>
          <w:rStyle w:val="PLATE-AbstractZchn"/>
        </w:rPr>
        <w:t xml:space="preserve"> samples</w:t>
      </w:r>
      <w:r>
        <w:rPr>
          <w:rStyle w:val="PLATE-AbstractZchn"/>
        </w:rPr>
        <w:t xml:space="preserve"> being required. In order to identify those to be further investigated</w:t>
      </w:r>
      <w:r w:rsidR="00E17A23">
        <w:rPr>
          <w:rStyle w:val="PLATE-AbstractZchn"/>
        </w:rPr>
        <w:t>,</w:t>
      </w:r>
      <w:r>
        <w:rPr>
          <w:rStyle w:val="PLATE-AbstractZchn"/>
        </w:rPr>
        <w:t xml:space="preserve"> a combination of</w:t>
      </w:r>
      <w:r w:rsidRPr="004561D3">
        <w:rPr>
          <w:rStyle w:val="PLATE-AbstractZchn"/>
        </w:rPr>
        <w:t xml:space="preserve"> probability and non-probability sampling</w:t>
      </w:r>
      <w:r>
        <w:rPr>
          <w:rStyle w:val="PLATE-AbstractZchn"/>
        </w:rPr>
        <w:t xml:space="preserve"> was applied. This first involved identifying the number of practitioners</w:t>
      </w:r>
      <w:r w:rsidR="00E17A23">
        <w:rPr>
          <w:rStyle w:val="PLATE-AbstractZchn"/>
        </w:rPr>
        <w:t xml:space="preserve"> </w:t>
      </w:r>
      <w:r>
        <w:rPr>
          <w:rStyle w:val="PLATE-AbstractZchn"/>
        </w:rPr>
        <w:t>within the main categories of reuse</w:t>
      </w:r>
      <w:r w:rsidR="00E17A23">
        <w:rPr>
          <w:rStyle w:val="PLATE-AbstractZchn"/>
        </w:rPr>
        <w:t xml:space="preserve">, </w:t>
      </w:r>
      <w:r>
        <w:rPr>
          <w:rStyle w:val="PLATE-AbstractZchn"/>
        </w:rPr>
        <w:t>followed by the project team identifying a proportionate number of individual businesses within each</w:t>
      </w:r>
      <w:r w:rsidR="00754B62">
        <w:rPr>
          <w:rStyle w:val="PLATE-AbstractZchn"/>
        </w:rPr>
        <w:t xml:space="preserve"> (e.g. social enterprise retail, charity shop retail, private retail, marketplaces, depots/redistributors, online (national/local) and online (international))</w:t>
      </w:r>
      <w:r>
        <w:rPr>
          <w:rStyle w:val="PLATE-AbstractZchn"/>
        </w:rPr>
        <w:t xml:space="preserve">. </w:t>
      </w:r>
    </w:p>
    <w:p w14:paraId="2033F4E7" w14:textId="77777777" w:rsidR="00A304AC" w:rsidRDefault="00A304AC" w:rsidP="00756395">
      <w:pPr>
        <w:pStyle w:val="PLATE-Text"/>
        <w:rPr>
          <w:rStyle w:val="PLATE-AbstractZchn"/>
        </w:rPr>
      </w:pPr>
    </w:p>
    <w:p w14:paraId="79899CBD" w14:textId="2AE4DA24" w:rsidR="00756395" w:rsidRDefault="00756395" w:rsidP="00756395">
      <w:pPr>
        <w:pStyle w:val="PLATE-Text"/>
        <w:rPr>
          <w:rStyle w:val="PLATE-AbstractZchn"/>
        </w:rPr>
      </w:pPr>
      <w:r>
        <w:rPr>
          <w:rStyle w:val="PLATE-AbstractZchn"/>
        </w:rPr>
        <w:t xml:space="preserve">In total, </w:t>
      </w:r>
      <w:r w:rsidRPr="00A62FF0">
        <w:rPr>
          <w:rStyle w:val="PLATE-AbstractZchn"/>
        </w:rPr>
        <w:t xml:space="preserve">104 practitioners </w:t>
      </w:r>
      <w:r>
        <w:rPr>
          <w:rStyle w:val="PLATE-AbstractZchn"/>
        </w:rPr>
        <w:t xml:space="preserve">were </w:t>
      </w:r>
      <w:r w:rsidRPr="00A62FF0">
        <w:rPr>
          <w:rStyle w:val="PLATE-AbstractZchn"/>
        </w:rPr>
        <w:t xml:space="preserve">contacted, </w:t>
      </w:r>
      <w:r w:rsidR="00594F43">
        <w:rPr>
          <w:rStyle w:val="PLATE-AbstractZchn"/>
        </w:rPr>
        <w:t>six</w:t>
      </w:r>
      <w:r w:rsidRPr="00A62FF0">
        <w:rPr>
          <w:rStyle w:val="PLATE-AbstractZchn"/>
        </w:rPr>
        <w:t xml:space="preserve"> </w:t>
      </w:r>
      <w:r>
        <w:rPr>
          <w:rStyle w:val="PLATE-AbstractZchn"/>
        </w:rPr>
        <w:t xml:space="preserve">of whom </w:t>
      </w:r>
      <w:r w:rsidRPr="00A62FF0">
        <w:rPr>
          <w:rStyle w:val="PLATE-AbstractZchn"/>
        </w:rPr>
        <w:t>didn’t want to participate</w:t>
      </w:r>
      <w:r>
        <w:rPr>
          <w:rStyle w:val="PLATE-AbstractZchn"/>
        </w:rPr>
        <w:t>. 57</w:t>
      </w:r>
      <w:r w:rsidRPr="00A62FF0">
        <w:rPr>
          <w:rStyle w:val="PLATE-AbstractZchn"/>
        </w:rPr>
        <w:t xml:space="preserve"> </w:t>
      </w:r>
      <w:r w:rsidRPr="002E0741">
        <w:rPr>
          <w:rStyle w:val="PLATE-AbstractZchn"/>
        </w:rPr>
        <w:t>Survey A</w:t>
      </w:r>
      <w:r>
        <w:rPr>
          <w:rStyle w:val="PLATE-AbstractZchn"/>
        </w:rPr>
        <w:t xml:space="preserve"> </w:t>
      </w:r>
      <w:r w:rsidRPr="00A62FF0">
        <w:rPr>
          <w:rStyle w:val="PLATE-AbstractZchn"/>
        </w:rPr>
        <w:t xml:space="preserve">questionnaires were completed </w:t>
      </w:r>
      <w:r>
        <w:rPr>
          <w:rStyle w:val="PLATE-AbstractZchn"/>
        </w:rPr>
        <w:t>and compiled using SurveyMonkey software</w:t>
      </w:r>
      <w:r w:rsidRPr="00A62FF0">
        <w:rPr>
          <w:rStyle w:val="PLATE-AbstractZchn"/>
        </w:rPr>
        <w:t xml:space="preserve">. </w:t>
      </w:r>
      <w:r w:rsidRPr="00560C3A">
        <w:rPr>
          <w:rStyle w:val="PLATE-AbstractZchn"/>
        </w:rPr>
        <w:t>The output from these surveys was quantitative and qualitative, primarily showing overall approach by the sector to data collection as well as some</w:t>
      </w:r>
      <w:r w:rsidR="00A304AC">
        <w:rPr>
          <w:rStyle w:val="PLATE-AbstractZchn"/>
        </w:rPr>
        <w:t xml:space="preserve"> </w:t>
      </w:r>
      <w:r w:rsidRPr="00560C3A">
        <w:rPr>
          <w:rStyle w:val="PLATE-AbstractZchn"/>
        </w:rPr>
        <w:t>qualitative data on incentives.</w:t>
      </w:r>
      <w:r>
        <w:rPr>
          <w:rStyle w:val="PLATE-AbstractZchn"/>
        </w:rPr>
        <w:t xml:space="preserve"> Over 50% of the practitioners listed in the database were found to be non-profit organisations. This provides an </w:t>
      </w:r>
      <w:r>
        <w:rPr>
          <w:rStyle w:val="PLATE-AbstractZchn"/>
        </w:rPr>
        <w:lastRenderedPageBreak/>
        <w:t xml:space="preserve">important profile of the landscape of reuse practitioners in Ireland. </w:t>
      </w:r>
    </w:p>
    <w:p w14:paraId="2F4F0203" w14:textId="77777777" w:rsidR="00756395" w:rsidRDefault="00756395" w:rsidP="00756395">
      <w:pPr>
        <w:pStyle w:val="PLATE-Text"/>
        <w:rPr>
          <w:rStyle w:val="PLATE-AbstractZchn"/>
        </w:rPr>
      </w:pPr>
    </w:p>
    <w:p w14:paraId="050CF09B" w14:textId="1B66F673" w:rsidR="00756395" w:rsidRDefault="00756395" w:rsidP="00756395">
      <w:pPr>
        <w:pStyle w:val="PLATE-Text"/>
        <w:rPr>
          <w:rStyle w:val="PLATE-AbstractZchn"/>
        </w:rPr>
      </w:pPr>
      <w:r>
        <w:rPr>
          <w:rStyle w:val="PLATE-AbstractZchn"/>
        </w:rPr>
        <w:t>Subsequently, a further 20 practitioners were approached via semi-structured interview</w:t>
      </w:r>
      <w:r w:rsidRPr="00A62FF0">
        <w:rPr>
          <w:rStyle w:val="PLATE-AbstractZchn"/>
        </w:rPr>
        <w:t xml:space="preserve"> </w:t>
      </w:r>
      <w:r>
        <w:rPr>
          <w:rStyle w:val="PLATE-AbstractZchn"/>
        </w:rPr>
        <w:t xml:space="preserve">(referred to as </w:t>
      </w:r>
      <w:r w:rsidRPr="002E0741">
        <w:rPr>
          <w:rStyle w:val="PLATE-AbstractZchn"/>
        </w:rPr>
        <w:t>Survey B</w:t>
      </w:r>
      <w:r>
        <w:rPr>
          <w:rStyle w:val="PLATE-AbstractZchn"/>
        </w:rPr>
        <w:t xml:space="preserve">) </w:t>
      </w:r>
      <w:r w:rsidRPr="00BB0179">
        <w:rPr>
          <w:rStyle w:val="PLATE-AbstractZchn"/>
        </w:rPr>
        <w:t>to explore in more detail the actual flow of materials through the various practitioner locations and, where possible, identify and measure throughput at the appropriate points within this process flow.</w:t>
      </w:r>
      <w:r>
        <w:rPr>
          <w:rStyle w:val="PLATE-AbstractZchn"/>
        </w:rPr>
        <w:t xml:space="preserve"> </w:t>
      </w:r>
      <w:r w:rsidRPr="008B58AF">
        <w:rPr>
          <w:rStyle w:val="PLATE-AbstractZchn"/>
        </w:rPr>
        <w:t>This subset was determined by non-probability convenience sampling</w:t>
      </w:r>
      <w:r>
        <w:rPr>
          <w:rStyle w:val="PLATE-AbstractZchn"/>
        </w:rPr>
        <w:t xml:space="preserve">. First, during a workshop held remotely, the research was explained and participant input was used to refine the interview methodology. A broad range of practitioner types were involved in </w:t>
      </w:r>
      <w:r w:rsidRPr="002E0741">
        <w:rPr>
          <w:rStyle w:val="PLATE-AbstractZchn"/>
        </w:rPr>
        <w:t>Survey B</w:t>
      </w:r>
      <w:r>
        <w:rPr>
          <w:rStyle w:val="PLATE-AbstractZchn"/>
        </w:rPr>
        <w:t xml:space="preserve">, ensuring that these included online as well as physical retail spaces, shops which are part of a larger group with formal systems in place, as well as independent shops without formal management systems. This work was originally intended to take place during on-site visits but, with </w:t>
      </w:r>
      <w:r w:rsidR="00594F43">
        <w:rPr>
          <w:rStyle w:val="PLATE-AbstractZchn"/>
        </w:rPr>
        <w:t xml:space="preserve">Covid-19 </w:t>
      </w:r>
      <w:r>
        <w:rPr>
          <w:rStyle w:val="PLATE-AbstractZchn"/>
        </w:rPr>
        <w:t xml:space="preserve">restrictions in place, this engagement was carried out remotely instead. In order to ensure a consistent examination of the different practitioners, and to facilitate collation of data, a flow template, with associated questions was developed using Miro software. The results of this process were combined to identify the main areas where data is currently gathered, to better understand how reuse materials should be classified and help the project team consider how data can be scaled up to provide national reporting figures. </w:t>
      </w:r>
    </w:p>
    <w:p w14:paraId="68100B06" w14:textId="77777777" w:rsidR="00752D6E" w:rsidRDefault="00752D6E" w:rsidP="001A763E">
      <w:pPr>
        <w:pStyle w:val="PLATE-Text"/>
        <w:rPr>
          <w:rStyle w:val="PLATE-AbstractZchn"/>
        </w:rPr>
      </w:pPr>
    </w:p>
    <w:p w14:paraId="5C773DFC" w14:textId="1512516A" w:rsidR="00756395" w:rsidRDefault="00756395" w:rsidP="00756395">
      <w:pPr>
        <w:pStyle w:val="PLATE-Text"/>
        <w:rPr>
          <w:rStyle w:val="PLATE-AbstractZchn"/>
        </w:rPr>
      </w:pPr>
      <w:r>
        <w:rPr>
          <w:rStyle w:val="PLATE-AbstractZchn"/>
        </w:rPr>
        <w:t xml:space="preserve">Based on these results, </w:t>
      </w:r>
      <w:r w:rsidRPr="00752D6E">
        <w:rPr>
          <w:rStyle w:val="PLATE-AbstractZchn"/>
        </w:rPr>
        <w:t xml:space="preserve">further investigation of </w:t>
      </w:r>
      <w:r>
        <w:rPr>
          <w:rStyle w:val="PLATE-AbstractZchn"/>
        </w:rPr>
        <w:t>relevant</w:t>
      </w:r>
      <w:r w:rsidRPr="00752D6E">
        <w:rPr>
          <w:rStyle w:val="PLATE-AbstractZchn"/>
        </w:rPr>
        <w:t xml:space="preserve"> </w:t>
      </w:r>
      <w:r w:rsidR="00594F43">
        <w:rPr>
          <w:rStyle w:val="PLATE-AbstractZchn"/>
        </w:rPr>
        <w:t xml:space="preserve">quantification </w:t>
      </w:r>
      <w:r w:rsidRPr="00752D6E">
        <w:rPr>
          <w:rStyle w:val="PLATE-AbstractZchn"/>
        </w:rPr>
        <w:t>systems in Flanders</w:t>
      </w:r>
      <w:r>
        <w:rPr>
          <w:rStyle w:val="PLATE-AbstractZchn"/>
        </w:rPr>
        <w:t xml:space="preserve">, </w:t>
      </w:r>
      <w:r w:rsidRPr="00752D6E">
        <w:rPr>
          <w:rStyle w:val="PLATE-AbstractZchn"/>
        </w:rPr>
        <w:t>The Netherlands</w:t>
      </w:r>
      <w:r>
        <w:rPr>
          <w:rStyle w:val="PLATE-AbstractZchn"/>
        </w:rPr>
        <w:t>, Scotland, Australia and Finland was deemed necessary. T</w:t>
      </w:r>
      <w:r w:rsidRPr="0058646D">
        <w:rPr>
          <w:rStyle w:val="PLATE-AbstractZchn"/>
        </w:rPr>
        <w:t xml:space="preserve">he </w:t>
      </w:r>
      <w:r>
        <w:rPr>
          <w:rStyle w:val="PLATE-AbstractZchn"/>
        </w:rPr>
        <w:t xml:space="preserve">project </w:t>
      </w:r>
      <w:r w:rsidRPr="0058646D">
        <w:rPr>
          <w:rStyle w:val="PLATE-AbstractZchn"/>
        </w:rPr>
        <w:t>team</w:t>
      </w:r>
      <w:r>
        <w:rPr>
          <w:rStyle w:val="PLATE-AbstractZchn"/>
        </w:rPr>
        <w:t xml:space="preserve"> </w:t>
      </w:r>
      <w:r w:rsidRPr="0058646D">
        <w:rPr>
          <w:rStyle w:val="PLATE-AbstractZchn"/>
        </w:rPr>
        <w:t xml:space="preserve">conducted a number of structured </w:t>
      </w:r>
      <w:r>
        <w:rPr>
          <w:rStyle w:val="PLATE-AbstractZchn"/>
        </w:rPr>
        <w:t xml:space="preserve">follow-up </w:t>
      </w:r>
      <w:r w:rsidRPr="0058646D">
        <w:rPr>
          <w:rStyle w:val="PLATE-AbstractZchn"/>
        </w:rPr>
        <w:t>interviews with organisations</w:t>
      </w:r>
      <w:r>
        <w:rPr>
          <w:rStyle w:val="PLATE-AbstractZchn"/>
        </w:rPr>
        <w:t xml:space="preserve"> based in these regions in order to aid the development of a national quantitative methodology</w:t>
      </w:r>
      <w:r w:rsidR="00632A42">
        <w:rPr>
          <w:rStyle w:val="PLATE-AbstractZchn"/>
        </w:rPr>
        <w:t xml:space="preserve"> for Ireland</w:t>
      </w:r>
      <w:r>
        <w:rPr>
          <w:rStyle w:val="PLATE-AbstractZchn"/>
        </w:rPr>
        <w:t>. As a consequence of these, and the results from both surveys, the</w:t>
      </w:r>
      <w:r w:rsidRPr="00101077">
        <w:rPr>
          <w:rStyle w:val="PLATE-AbstractZchn"/>
        </w:rPr>
        <w:t xml:space="preserve"> </w:t>
      </w:r>
      <w:r>
        <w:rPr>
          <w:rStyle w:val="PLATE-AbstractZchn"/>
        </w:rPr>
        <w:t xml:space="preserve">main steps proposed </w:t>
      </w:r>
      <w:r w:rsidRPr="00101077">
        <w:rPr>
          <w:rStyle w:val="PLATE-AbstractZchn"/>
        </w:rPr>
        <w:t>have been identified as follows:</w:t>
      </w:r>
    </w:p>
    <w:p w14:paraId="6591E1E2" w14:textId="77777777" w:rsidR="00756395" w:rsidRDefault="00756395" w:rsidP="00756395">
      <w:pPr>
        <w:pStyle w:val="PLATE-Text"/>
        <w:rPr>
          <w:rStyle w:val="PLATE-AbstractZchn"/>
        </w:rPr>
      </w:pPr>
    </w:p>
    <w:p w14:paraId="10299C75" w14:textId="1B66BA30" w:rsidR="00F65388" w:rsidRPr="00F65388" w:rsidRDefault="00F65388" w:rsidP="00F65388">
      <w:pPr>
        <w:pStyle w:val="ListParagraph"/>
        <w:numPr>
          <w:ilvl w:val="0"/>
          <w:numId w:val="2"/>
        </w:numPr>
        <w:rPr>
          <w:rFonts w:ascii="Times New Roman" w:eastAsia="Times New Roman" w:hAnsi="Times New Roman"/>
          <w:lang w:eastAsia="en-GB"/>
        </w:rPr>
      </w:pPr>
      <w:r w:rsidRPr="00F65388">
        <w:rPr>
          <w:rFonts w:ascii="Arial" w:eastAsia="Times New Roman" w:hAnsi="Arial" w:cs="Arial"/>
          <w:color w:val="000000"/>
          <w:sz w:val="20"/>
          <w:szCs w:val="20"/>
          <w:lang w:eastAsia="en-GB"/>
        </w:rPr>
        <w:t xml:space="preserve">Scoping of the sector </w:t>
      </w:r>
    </w:p>
    <w:p w14:paraId="455B3755" w14:textId="77777777" w:rsidR="00F65388" w:rsidRPr="00F65388" w:rsidRDefault="00F65388" w:rsidP="00F65388">
      <w:pPr>
        <w:pStyle w:val="ListParagraph"/>
        <w:numPr>
          <w:ilvl w:val="0"/>
          <w:numId w:val="2"/>
        </w:numPr>
        <w:rPr>
          <w:rFonts w:ascii="Times New Roman" w:eastAsia="Times New Roman" w:hAnsi="Times New Roman"/>
          <w:lang w:eastAsia="en-GB"/>
        </w:rPr>
      </w:pPr>
      <w:r w:rsidRPr="00F65388">
        <w:rPr>
          <w:rFonts w:ascii="Arial" w:eastAsia="Times New Roman" w:hAnsi="Arial" w:cs="Arial"/>
          <w:color w:val="000000"/>
          <w:sz w:val="20"/>
          <w:szCs w:val="20"/>
          <w:lang w:eastAsia="en-GB"/>
        </w:rPr>
        <w:t xml:space="preserve">Defining what will be measured </w:t>
      </w:r>
    </w:p>
    <w:p w14:paraId="60C21A5C" w14:textId="77777777" w:rsidR="00F65388" w:rsidRPr="00F65388" w:rsidRDefault="00F65388" w:rsidP="00F65388">
      <w:pPr>
        <w:pStyle w:val="ListParagraph"/>
        <w:numPr>
          <w:ilvl w:val="0"/>
          <w:numId w:val="2"/>
        </w:numPr>
        <w:rPr>
          <w:rFonts w:ascii="Times New Roman" w:eastAsia="Times New Roman" w:hAnsi="Times New Roman"/>
          <w:lang w:eastAsia="en-GB"/>
        </w:rPr>
      </w:pPr>
      <w:r w:rsidRPr="00F65388">
        <w:rPr>
          <w:rFonts w:ascii="Arial" w:eastAsia="Times New Roman" w:hAnsi="Arial" w:cs="Arial"/>
          <w:color w:val="000000"/>
          <w:sz w:val="20"/>
          <w:szCs w:val="20"/>
          <w:lang w:eastAsia="en-GB"/>
        </w:rPr>
        <w:t xml:space="preserve">Data compilation – gathering, collating, assessing </w:t>
      </w:r>
    </w:p>
    <w:p w14:paraId="799DDAF1" w14:textId="1E1B4908" w:rsidR="00756395" w:rsidRPr="00F65388" w:rsidRDefault="00F65388" w:rsidP="00F65388">
      <w:pPr>
        <w:pStyle w:val="ListParagraph"/>
        <w:numPr>
          <w:ilvl w:val="0"/>
          <w:numId w:val="2"/>
        </w:numPr>
        <w:rPr>
          <w:rStyle w:val="PLATE-AbstractZchn"/>
          <w:rFonts w:ascii="Times New Roman" w:eastAsia="Times New Roman" w:hAnsi="Times New Roman"/>
          <w:sz w:val="24"/>
          <w:szCs w:val="24"/>
          <w:lang w:eastAsia="en-GB"/>
        </w:rPr>
      </w:pPr>
      <w:r w:rsidRPr="00F65388">
        <w:rPr>
          <w:rFonts w:ascii="Arial" w:eastAsia="Times New Roman" w:hAnsi="Arial" w:cs="Arial"/>
          <w:color w:val="000000"/>
          <w:sz w:val="20"/>
          <w:szCs w:val="20"/>
          <w:lang w:eastAsia="en-GB"/>
        </w:rPr>
        <w:t>Data extrapolation, scaling and accuracy</w:t>
      </w:r>
      <w:r>
        <w:rPr>
          <w:rFonts w:ascii="Arial" w:eastAsia="Times New Roman" w:hAnsi="Arial" w:cs="Arial"/>
          <w:color w:val="000000"/>
          <w:sz w:val="20"/>
          <w:szCs w:val="20"/>
          <w:lang w:eastAsia="en-GB"/>
        </w:rPr>
        <w:t xml:space="preserve"> </w:t>
      </w:r>
    </w:p>
    <w:p w14:paraId="706E50AC" w14:textId="77777777" w:rsidR="00756395" w:rsidRDefault="00756395" w:rsidP="00756395">
      <w:pPr>
        <w:pStyle w:val="PLATE-Text"/>
        <w:rPr>
          <w:rStyle w:val="PLATE-AbstractZchn"/>
        </w:rPr>
      </w:pPr>
    </w:p>
    <w:p w14:paraId="5319C72D" w14:textId="77777777" w:rsidR="00756395" w:rsidRPr="00E44628" w:rsidRDefault="00756395" w:rsidP="00756395">
      <w:pPr>
        <w:pStyle w:val="PLATE-Subtitle2"/>
        <w:rPr>
          <w:b/>
          <w:bCs/>
        </w:rPr>
      </w:pPr>
      <w:r w:rsidRPr="00E44628">
        <w:rPr>
          <w:b/>
          <w:bCs/>
        </w:rPr>
        <w:t>Scoping of the sector</w:t>
      </w:r>
    </w:p>
    <w:p w14:paraId="1EFAEA62" w14:textId="440B03E4" w:rsidR="00756395" w:rsidRDefault="00756395" w:rsidP="00756395">
      <w:pPr>
        <w:pStyle w:val="PLATE-Text"/>
        <w:rPr>
          <w:rStyle w:val="PLATE-AbstractZchn"/>
        </w:rPr>
      </w:pPr>
      <w:r w:rsidRPr="00744632">
        <w:rPr>
          <w:rStyle w:val="PLATE-AbstractZchn"/>
        </w:rPr>
        <w:t xml:space="preserve">The European study on a Methodology for the reporting of re-use of products underpinning the Commission's Implementing Decision </w:t>
      </w:r>
      <w:r w:rsidR="00632A42">
        <w:rPr>
          <w:rStyle w:val="PLATE-AbstractZchn"/>
        </w:rPr>
        <w:t>(</w:t>
      </w:r>
      <w:proofErr w:type="spellStart"/>
      <w:r w:rsidR="00A30EE3" w:rsidRPr="000C236D">
        <w:rPr>
          <w:rStyle w:val="PLATE-AbstractZchn"/>
        </w:rPr>
        <w:t>Gsell</w:t>
      </w:r>
      <w:proofErr w:type="spellEnd"/>
      <w:r w:rsidR="00A30EE3" w:rsidRPr="000C236D">
        <w:rPr>
          <w:rStyle w:val="PLATE-AbstractZchn"/>
        </w:rPr>
        <w:t xml:space="preserve">, M. </w:t>
      </w:r>
      <w:r w:rsidR="00A30EE3" w:rsidRPr="00120A53">
        <w:rPr>
          <w:rStyle w:val="PLATE-AbstractZchn"/>
          <w:i/>
          <w:iCs/>
        </w:rPr>
        <w:t>et al</w:t>
      </w:r>
      <w:r w:rsidR="00A30EE3" w:rsidRPr="000C236D">
        <w:rPr>
          <w:rStyle w:val="PLATE-AbstractZchn"/>
        </w:rPr>
        <w:t>, 2019</w:t>
      </w:r>
      <w:r w:rsidR="00A30EE3">
        <w:rPr>
          <w:rStyle w:val="PLATE-AbstractZchn"/>
        </w:rPr>
        <w:t>)</w:t>
      </w:r>
      <w:r w:rsidR="00632A42">
        <w:rPr>
          <w:rStyle w:val="PLATE-AbstractZchn"/>
        </w:rPr>
        <w:t xml:space="preserve"> </w:t>
      </w:r>
      <w:r w:rsidRPr="00744632">
        <w:rPr>
          <w:rStyle w:val="PLATE-AbstractZchn"/>
        </w:rPr>
        <w:t xml:space="preserve">proposed a narrow scope of </w:t>
      </w:r>
      <w:r w:rsidRPr="00491944">
        <w:rPr>
          <w:rStyle w:val="PLATE-AbstractZchn"/>
        </w:rPr>
        <w:t>product categories as appropriate for measurement: EEE, textiles, furniture and construction materials.</w:t>
      </w:r>
      <w:r>
        <w:rPr>
          <w:rStyle w:val="PLATE-AbstractZchn"/>
        </w:rPr>
        <w:t xml:space="preserve"> </w:t>
      </w:r>
      <w:r w:rsidRPr="00491944">
        <w:rPr>
          <w:rStyle w:val="PLATE-AbstractZchn"/>
        </w:rPr>
        <w:t>Many current measurements focus on measuring reuse by social enterprises working with donated goods, though there are diverging opinions on whether the wider sector should also be included, particularly online platforms.</w:t>
      </w:r>
      <w:r>
        <w:rPr>
          <w:rStyle w:val="PLATE-AbstractZchn"/>
        </w:rPr>
        <w:t xml:space="preserve"> Based on findings from </w:t>
      </w:r>
      <w:r w:rsidR="00C07049">
        <w:rPr>
          <w:rStyle w:val="PLATE-AbstractZchn"/>
        </w:rPr>
        <w:t>Q2Reuse</w:t>
      </w:r>
      <w:r>
        <w:rPr>
          <w:rStyle w:val="PLATE-AbstractZchn"/>
        </w:rPr>
        <w:t xml:space="preserve"> research the proposed </w:t>
      </w:r>
      <w:r w:rsidR="00C07049">
        <w:rPr>
          <w:rStyle w:val="PLATE-AbstractZchn"/>
        </w:rPr>
        <w:t>nine</w:t>
      </w:r>
      <w:r>
        <w:rPr>
          <w:rStyle w:val="PLATE-AbstractZchn"/>
        </w:rPr>
        <w:t xml:space="preserve"> main material categories for reporting reuse in Ireland developed under this methodology include: clothing, other textiles and accessories, footwear, bric-a-brac, books and media, furniture, bikes, jewellery and other with a minimum of 28 sub-categories (and potentially 33 sub-categories) identified. </w:t>
      </w:r>
      <w:r w:rsidR="000C1770">
        <w:rPr>
          <w:rStyle w:val="PLATE-AbstractZchn"/>
        </w:rPr>
        <w:t>B</w:t>
      </w:r>
      <w:r w:rsidR="000C1770" w:rsidRPr="000C1770">
        <w:rPr>
          <w:rStyle w:val="PLATE-AbstractZchn"/>
        </w:rPr>
        <w:t xml:space="preserve">oth </w:t>
      </w:r>
      <w:r w:rsidR="000C1770">
        <w:rPr>
          <w:rStyle w:val="PLATE-AbstractZchn"/>
        </w:rPr>
        <w:t>non-profit</w:t>
      </w:r>
      <w:r w:rsidR="000C1770" w:rsidRPr="000C1770">
        <w:rPr>
          <w:rStyle w:val="PLATE-AbstractZchn"/>
        </w:rPr>
        <w:t xml:space="preserve"> enterprises and commercial enterprises (e.g. the whole sector) are included in the scope.</w:t>
      </w:r>
      <w:r w:rsidR="000C1770">
        <w:rPr>
          <w:rStyle w:val="PLATE-AbstractZchn"/>
        </w:rPr>
        <w:t xml:space="preserve"> </w:t>
      </w:r>
    </w:p>
    <w:p w14:paraId="1AFE6DB2" w14:textId="77777777" w:rsidR="00756395" w:rsidRDefault="00756395" w:rsidP="00756395">
      <w:pPr>
        <w:pStyle w:val="PLATE-Text"/>
        <w:rPr>
          <w:rStyle w:val="PLATE-AbstractZchn"/>
        </w:rPr>
      </w:pPr>
    </w:p>
    <w:p w14:paraId="7A5281C8" w14:textId="77777777" w:rsidR="00EC6443" w:rsidRDefault="00756395" w:rsidP="00756395">
      <w:pPr>
        <w:pStyle w:val="PLATE-Subtitle2"/>
        <w:rPr>
          <w:rStyle w:val="PLATE-AbstractZchn"/>
          <w:rFonts w:cs="Times New Roman"/>
          <w:i w:val="0"/>
          <w:iCs w:val="0"/>
        </w:rPr>
      </w:pPr>
      <w:r w:rsidRPr="002360F7">
        <w:rPr>
          <w:rStyle w:val="PLATE-AbstractZchn"/>
          <w:rFonts w:cs="Times New Roman"/>
          <w:i w:val="0"/>
          <w:iCs w:val="0"/>
        </w:rPr>
        <w:t xml:space="preserve">While in an ideal situation there would be a 100% response rate for any data collection exercise, </w:t>
      </w:r>
      <w:r w:rsidRPr="00C83151">
        <w:rPr>
          <w:rStyle w:val="PLATE-AbstractZchn"/>
          <w:rFonts w:cs="Times New Roman"/>
          <w:i w:val="0"/>
          <w:iCs w:val="0"/>
        </w:rPr>
        <w:t>in the absence of any Government funding directed to reuse operators,</w:t>
      </w:r>
      <w:r>
        <w:rPr>
          <w:rStyle w:val="PLATE-AbstractZchn"/>
          <w:rFonts w:cs="Times New Roman"/>
          <w:i w:val="0"/>
          <w:iCs w:val="0"/>
        </w:rPr>
        <w:t xml:space="preserve"> many of whom are charities with other driving forces,</w:t>
      </w:r>
      <w:r w:rsidRPr="00C83151">
        <w:rPr>
          <w:rStyle w:val="PLATE-AbstractZchn"/>
          <w:rFonts w:cs="Times New Roman"/>
          <w:i w:val="0"/>
          <w:iCs w:val="0"/>
        </w:rPr>
        <w:t xml:space="preserve"> it </w:t>
      </w:r>
      <w:r>
        <w:rPr>
          <w:rStyle w:val="PLATE-AbstractZchn"/>
          <w:rFonts w:cs="Times New Roman"/>
          <w:i w:val="0"/>
          <w:iCs w:val="0"/>
        </w:rPr>
        <w:t>may be</w:t>
      </w:r>
      <w:r w:rsidRPr="00C83151">
        <w:rPr>
          <w:rStyle w:val="PLATE-AbstractZchn"/>
          <w:rFonts w:cs="Times New Roman"/>
          <w:i w:val="0"/>
          <w:iCs w:val="0"/>
        </w:rPr>
        <w:t xml:space="preserve"> difficult to gather </w:t>
      </w:r>
      <w:r>
        <w:rPr>
          <w:rStyle w:val="PLATE-AbstractZchn"/>
          <w:rFonts w:cs="Times New Roman"/>
          <w:i w:val="0"/>
          <w:iCs w:val="0"/>
        </w:rPr>
        <w:t>sufficient</w:t>
      </w:r>
      <w:r w:rsidRPr="00C83151">
        <w:rPr>
          <w:rStyle w:val="PLATE-AbstractZchn"/>
          <w:rFonts w:cs="Times New Roman"/>
          <w:i w:val="0"/>
          <w:iCs w:val="0"/>
        </w:rPr>
        <w:t xml:space="preserve"> data to provide for accurate reportin</w:t>
      </w:r>
      <w:r>
        <w:rPr>
          <w:rStyle w:val="PLATE-AbstractZchn"/>
          <w:rFonts w:cs="Times New Roman"/>
          <w:i w:val="0"/>
          <w:iCs w:val="0"/>
        </w:rPr>
        <w:t>g.</w:t>
      </w:r>
    </w:p>
    <w:p w14:paraId="09E0F5D0" w14:textId="77777777" w:rsidR="00EC6443" w:rsidRDefault="00EC6443" w:rsidP="00756395">
      <w:pPr>
        <w:pStyle w:val="PLATE-Subtitle2"/>
        <w:rPr>
          <w:rStyle w:val="PLATE-AbstractZchn"/>
          <w:rFonts w:cs="Times New Roman"/>
          <w:i w:val="0"/>
          <w:iCs w:val="0"/>
        </w:rPr>
      </w:pPr>
    </w:p>
    <w:p w14:paraId="2FBF3F01" w14:textId="4A49BCE8" w:rsidR="00756395" w:rsidRDefault="00756395" w:rsidP="00756395">
      <w:pPr>
        <w:pStyle w:val="PLATE-Subtitle2"/>
        <w:rPr>
          <w:rStyle w:val="PLATE-AbstractZchn"/>
          <w:rFonts w:cs="Times New Roman"/>
          <w:i w:val="0"/>
          <w:iCs w:val="0"/>
        </w:rPr>
      </w:pPr>
      <w:r>
        <w:rPr>
          <w:rStyle w:val="PLATE-AbstractZchn"/>
          <w:rFonts w:cs="Times New Roman"/>
          <w:i w:val="0"/>
          <w:iCs w:val="0"/>
        </w:rPr>
        <w:t xml:space="preserve">Incentivising reporting </w:t>
      </w:r>
      <w:r w:rsidRPr="00C83151">
        <w:rPr>
          <w:rStyle w:val="PLATE-AbstractZchn"/>
          <w:rFonts w:cs="Times New Roman"/>
          <w:i w:val="0"/>
          <w:iCs w:val="0"/>
        </w:rPr>
        <w:t>(e.g. financial incentives, funder requirements, targets, access to data or marketing)</w:t>
      </w:r>
      <w:r>
        <w:rPr>
          <w:rStyle w:val="PLATE-AbstractZchn"/>
          <w:rFonts w:cs="Times New Roman"/>
          <w:i w:val="0"/>
          <w:iCs w:val="0"/>
        </w:rPr>
        <w:t xml:space="preserve"> has been shown to result in </w:t>
      </w:r>
      <w:r w:rsidRPr="00C83151">
        <w:rPr>
          <w:rStyle w:val="PLATE-AbstractZchn"/>
          <w:rFonts w:cs="Times New Roman"/>
          <w:i w:val="0"/>
          <w:iCs w:val="0"/>
        </w:rPr>
        <w:t>high levels of reporting</w:t>
      </w:r>
      <w:r>
        <w:rPr>
          <w:rStyle w:val="PLATE-AbstractZchn"/>
          <w:rFonts w:cs="Times New Roman"/>
          <w:i w:val="0"/>
          <w:iCs w:val="0"/>
        </w:rPr>
        <w:t xml:space="preserve">. In the Irish context it is recommended that supports accompany reporting requirements. </w:t>
      </w:r>
    </w:p>
    <w:p w14:paraId="56E0DC4F" w14:textId="77777777" w:rsidR="00756395" w:rsidRPr="00491944" w:rsidRDefault="00756395" w:rsidP="00756395">
      <w:pPr>
        <w:pStyle w:val="PLATE-Subtitle2"/>
        <w:rPr>
          <w:i w:val="0"/>
          <w:iCs w:val="0"/>
        </w:rPr>
      </w:pPr>
    </w:p>
    <w:p w14:paraId="4CE63D1C" w14:textId="1429FB89" w:rsidR="00EC6443" w:rsidRPr="00E44628" w:rsidRDefault="00756395" w:rsidP="009E7C2D">
      <w:pPr>
        <w:pStyle w:val="PLATE-Subtitle2"/>
        <w:rPr>
          <w:rStyle w:val="PLATE-AbstractZchn"/>
          <w:b/>
          <w:bCs/>
          <w:sz w:val="22"/>
          <w:szCs w:val="22"/>
        </w:rPr>
      </w:pPr>
      <w:r w:rsidRPr="00E44628">
        <w:rPr>
          <w:b/>
          <w:bCs/>
        </w:rPr>
        <w:t>Defining what will be measured</w:t>
      </w:r>
    </w:p>
    <w:p w14:paraId="44F8062A" w14:textId="5C565C79" w:rsidR="00EC6443" w:rsidRDefault="00756395" w:rsidP="00764B63">
      <w:pPr>
        <w:pStyle w:val="PLATE-Text"/>
        <w:rPr>
          <w:rStyle w:val="PLATE-AbstractZchn"/>
        </w:rPr>
      </w:pPr>
      <w:r>
        <w:rPr>
          <w:rStyle w:val="PLATE-AbstractZchn"/>
        </w:rPr>
        <w:t>In Ireland, n</w:t>
      </w:r>
      <w:r w:rsidRPr="00AE4501">
        <w:rPr>
          <w:rStyle w:val="PLATE-AbstractZchn"/>
        </w:rPr>
        <w:t xml:space="preserve">umber of units </w:t>
      </w:r>
      <w:r w:rsidR="00FF65EF">
        <w:rPr>
          <w:rStyle w:val="PLATE-AbstractZchn"/>
        </w:rPr>
        <w:t xml:space="preserve">(e.g. number of items sold) </w:t>
      </w:r>
      <w:r w:rsidRPr="00AE4501">
        <w:rPr>
          <w:rStyle w:val="PLATE-AbstractZchn"/>
        </w:rPr>
        <w:t xml:space="preserve">and financial metrics are </w:t>
      </w:r>
      <w:r w:rsidR="006336F9">
        <w:rPr>
          <w:rStyle w:val="PLATE-AbstractZchn"/>
        </w:rPr>
        <w:t xml:space="preserve">the </w:t>
      </w:r>
      <w:r w:rsidRPr="00AE4501">
        <w:rPr>
          <w:rStyle w:val="PLATE-AbstractZchn"/>
        </w:rPr>
        <w:t xml:space="preserve">most commonly compiled </w:t>
      </w:r>
      <w:r>
        <w:rPr>
          <w:rStyle w:val="PLATE-AbstractZchn"/>
        </w:rPr>
        <w:t xml:space="preserve">primary measures </w:t>
      </w:r>
      <w:r w:rsidRPr="00AE4501">
        <w:rPr>
          <w:rStyle w:val="PLATE-AbstractZchn"/>
        </w:rPr>
        <w:t xml:space="preserve">on reuse. Very few reuse operators measure weights </w:t>
      </w:r>
      <w:r w:rsidR="006336F9">
        <w:rPr>
          <w:rStyle w:val="PLATE-AbstractZchn"/>
        </w:rPr>
        <w:t>at the point of reuse</w:t>
      </w:r>
      <w:r w:rsidRPr="00AE4501">
        <w:rPr>
          <w:rStyle w:val="PLATE-AbstractZchn"/>
        </w:rPr>
        <w:t xml:space="preserve"> and </w:t>
      </w:r>
      <w:r>
        <w:rPr>
          <w:rStyle w:val="PLATE-AbstractZchn"/>
        </w:rPr>
        <w:t xml:space="preserve">for those who </w:t>
      </w:r>
      <w:r w:rsidR="00BD45FB">
        <w:rPr>
          <w:rStyle w:val="PLATE-AbstractZchn"/>
        </w:rPr>
        <w:t xml:space="preserve">report </w:t>
      </w:r>
      <w:r>
        <w:rPr>
          <w:rStyle w:val="PLATE-AbstractZchn"/>
        </w:rPr>
        <w:t>weigh</w:t>
      </w:r>
      <w:r w:rsidR="00BD45FB">
        <w:rPr>
          <w:rStyle w:val="PLATE-AbstractZchn"/>
        </w:rPr>
        <w:t>t</w:t>
      </w:r>
      <w:r>
        <w:rPr>
          <w:rStyle w:val="PLATE-AbstractZchn"/>
        </w:rPr>
        <w:t xml:space="preserve"> metrics, </w:t>
      </w:r>
      <w:r w:rsidRPr="00AE4501">
        <w:rPr>
          <w:rStyle w:val="PLATE-AbstractZchn"/>
        </w:rPr>
        <w:t>most use proxy weights or product weight protocols to convert unit data into tonnes sold.</w:t>
      </w:r>
    </w:p>
    <w:p w14:paraId="0412AA40" w14:textId="77777777" w:rsidR="00EC6443" w:rsidRDefault="00EC6443" w:rsidP="00764B63">
      <w:pPr>
        <w:pStyle w:val="PLATE-Text"/>
        <w:rPr>
          <w:rStyle w:val="PLATE-AbstractZchn"/>
        </w:rPr>
      </w:pPr>
    </w:p>
    <w:p w14:paraId="73BFC758" w14:textId="42F6513B" w:rsidR="00756395" w:rsidRPr="00EC6443" w:rsidRDefault="00756395" w:rsidP="00EC6443">
      <w:pPr>
        <w:pStyle w:val="PLATE-Text"/>
        <w:rPr>
          <w:rStyle w:val="PLATE-AbstractZchn"/>
        </w:rPr>
      </w:pPr>
      <w:r w:rsidRPr="00AE4501">
        <w:rPr>
          <w:rStyle w:val="PLATE-AbstractZchn"/>
        </w:rPr>
        <w:t xml:space="preserve">Turnover data is widely available, though for some reuse operators it may be difficult to distinguish general earnings from the value associated with reuse activities. Providing the data to check this can also involve a high </w:t>
      </w:r>
      <w:r w:rsidRPr="00AE4501">
        <w:rPr>
          <w:rStyle w:val="PLATE-AbstractZchn"/>
        </w:rPr>
        <w:lastRenderedPageBreak/>
        <w:t xml:space="preserve">reporting burden. In the </w:t>
      </w:r>
      <w:r>
        <w:rPr>
          <w:rStyle w:val="PLATE-AbstractZchn"/>
        </w:rPr>
        <w:t>Netherlands</w:t>
      </w:r>
      <w:r w:rsidRPr="00AE4501">
        <w:rPr>
          <w:rStyle w:val="PLATE-AbstractZchn"/>
        </w:rPr>
        <w:t xml:space="preserve"> </w:t>
      </w:r>
      <w:r>
        <w:rPr>
          <w:rStyle w:val="PLATE-AbstractZchn"/>
        </w:rPr>
        <w:t>floor area (m</w:t>
      </w:r>
      <w:r w:rsidRPr="007A7BD7">
        <w:rPr>
          <w:rStyle w:val="PLATE-AbstractZchn"/>
        </w:rPr>
        <w:t>²</w:t>
      </w:r>
      <w:r>
        <w:rPr>
          <w:rStyle w:val="PLATE-AbstractZchn"/>
        </w:rPr>
        <w:t>)</w:t>
      </w:r>
      <w:r w:rsidRPr="00AE4501">
        <w:rPr>
          <w:rStyle w:val="PLATE-AbstractZchn"/>
        </w:rPr>
        <w:t xml:space="preserve"> is widely reported and used for extrapolation of other data. Social metrics are not generally used to correlate with reuse levels.</w:t>
      </w:r>
      <w:r>
        <w:rPr>
          <w:rStyle w:val="PLATE-AbstractZchn"/>
        </w:rPr>
        <w:t xml:space="preserve"> </w:t>
      </w:r>
    </w:p>
    <w:p w14:paraId="1F4F715C" w14:textId="77777777" w:rsidR="00756395" w:rsidRPr="00B50272" w:rsidRDefault="00756395" w:rsidP="00756395">
      <w:pPr>
        <w:pStyle w:val="PLATE-Subtitle2"/>
        <w:rPr>
          <w:rStyle w:val="PLATE-AbstractZchn"/>
          <w:rFonts w:cs="Times New Roman"/>
          <w:i w:val="0"/>
          <w:iCs w:val="0"/>
        </w:rPr>
      </w:pPr>
    </w:p>
    <w:p w14:paraId="45BC8999" w14:textId="77777777" w:rsidR="00756395" w:rsidRPr="00E44628" w:rsidRDefault="00756395" w:rsidP="00756395">
      <w:pPr>
        <w:pStyle w:val="PLATE-Subtitle2"/>
        <w:rPr>
          <w:b/>
          <w:bCs/>
        </w:rPr>
      </w:pPr>
      <w:r w:rsidRPr="00E44628">
        <w:rPr>
          <w:b/>
          <w:bCs/>
        </w:rPr>
        <w:t>Data compilation</w:t>
      </w:r>
    </w:p>
    <w:p w14:paraId="351C0E81" w14:textId="6C6F2C3C" w:rsidR="003D3B5E" w:rsidRDefault="00756395" w:rsidP="00756395">
      <w:pPr>
        <w:pStyle w:val="PLATE-Subtitle2"/>
        <w:rPr>
          <w:rStyle w:val="PLATE-AbstractZchn"/>
          <w:rFonts w:cs="Times New Roman"/>
          <w:i w:val="0"/>
          <w:iCs w:val="0"/>
          <w:szCs w:val="24"/>
        </w:rPr>
      </w:pPr>
      <w:r w:rsidRPr="002E3255">
        <w:rPr>
          <w:rStyle w:val="PLATE-AbstractZchn"/>
          <w:rFonts w:cs="Times New Roman"/>
          <w:i w:val="0"/>
          <w:iCs w:val="0"/>
          <w:szCs w:val="24"/>
        </w:rPr>
        <w:t xml:space="preserve">There is general agreement </w:t>
      </w:r>
      <w:r>
        <w:rPr>
          <w:rStyle w:val="PLATE-AbstractZchn"/>
          <w:rFonts w:cs="Times New Roman"/>
          <w:i w:val="0"/>
          <w:iCs w:val="0"/>
          <w:szCs w:val="24"/>
        </w:rPr>
        <w:t xml:space="preserve">in the sector </w:t>
      </w:r>
      <w:r w:rsidRPr="002E3255">
        <w:rPr>
          <w:rStyle w:val="PLATE-AbstractZchn"/>
          <w:rFonts w:cs="Times New Roman"/>
          <w:i w:val="0"/>
          <w:iCs w:val="0"/>
          <w:szCs w:val="24"/>
        </w:rPr>
        <w:t>that point of sale is an appropriate point for measurement though other data (e.g.</w:t>
      </w:r>
      <w:r w:rsidR="00A304AC">
        <w:rPr>
          <w:rStyle w:val="PLATE-AbstractZchn"/>
          <w:rFonts w:cs="Times New Roman"/>
          <w:i w:val="0"/>
          <w:iCs w:val="0"/>
          <w:szCs w:val="24"/>
        </w:rPr>
        <w:t xml:space="preserve"> weight</w:t>
      </w:r>
      <w:r w:rsidRPr="002E3255">
        <w:rPr>
          <w:rStyle w:val="PLATE-AbstractZchn"/>
          <w:rFonts w:cs="Times New Roman"/>
          <w:i w:val="0"/>
          <w:iCs w:val="0"/>
          <w:szCs w:val="24"/>
        </w:rPr>
        <w:t>) c</w:t>
      </w:r>
      <w:r w:rsidR="00A304AC">
        <w:rPr>
          <w:rStyle w:val="PLATE-AbstractZchn"/>
          <w:rFonts w:cs="Times New Roman"/>
          <w:i w:val="0"/>
          <w:iCs w:val="0"/>
          <w:szCs w:val="24"/>
        </w:rPr>
        <w:t>ould</w:t>
      </w:r>
      <w:r w:rsidRPr="002E3255">
        <w:rPr>
          <w:rStyle w:val="PLATE-AbstractZchn"/>
          <w:rFonts w:cs="Times New Roman"/>
          <w:i w:val="0"/>
          <w:iCs w:val="0"/>
          <w:szCs w:val="24"/>
        </w:rPr>
        <w:t xml:space="preserve"> help validate this. There</w:t>
      </w:r>
      <w:r w:rsidRPr="002E3255">
        <w:t xml:space="preserve"> </w:t>
      </w:r>
      <w:r w:rsidRPr="002E3255">
        <w:rPr>
          <w:rStyle w:val="PLATE-AbstractZchn"/>
          <w:rFonts w:cs="Times New Roman"/>
          <w:i w:val="0"/>
          <w:iCs w:val="0"/>
          <w:szCs w:val="24"/>
        </w:rPr>
        <w:t>are many unit to weight conversion tables (product weight protocols) used in different regions, with between 300 and over 1</w:t>
      </w:r>
      <w:r>
        <w:rPr>
          <w:rStyle w:val="PLATE-AbstractZchn"/>
          <w:rFonts w:cs="Times New Roman"/>
          <w:i w:val="0"/>
          <w:iCs w:val="0"/>
          <w:szCs w:val="24"/>
        </w:rPr>
        <w:t>,</w:t>
      </w:r>
      <w:r w:rsidRPr="002E3255">
        <w:rPr>
          <w:rStyle w:val="PLATE-AbstractZchn"/>
          <w:rFonts w:cs="Times New Roman"/>
          <w:i w:val="0"/>
          <w:iCs w:val="0"/>
          <w:szCs w:val="24"/>
        </w:rPr>
        <w:t>000 categories. Observations of product weights over time indicate that these should be regularly updated to remain accurate, particularly for textiles and electrical goods</w:t>
      </w:r>
      <w:r>
        <w:rPr>
          <w:rStyle w:val="PLATE-AbstractZchn"/>
          <w:rFonts w:cs="Times New Roman"/>
          <w:i w:val="0"/>
          <w:iCs w:val="0"/>
          <w:szCs w:val="24"/>
        </w:rPr>
        <w:t>. However,</w:t>
      </w:r>
      <w:r w:rsidRPr="002E3255">
        <w:rPr>
          <w:rStyle w:val="PLATE-AbstractZchn"/>
          <w:rFonts w:cs="Times New Roman"/>
          <w:i w:val="0"/>
          <w:iCs w:val="0"/>
          <w:szCs w:val="24"/>
        </w:rPr>
        <w:t xml:space="preserve"> voluntary updates are harder to implement effectively. In Flanders, the move towards regularly weighing general product categories (rather than having a very large number of individual categories) will aim to help improve accuracy, reduce reporting burden and remove</w:t>
      </w:r>
      <w:r w:rsidR="00133D3E">
        <w:rPr>
          <w:rStyle w:val="PLATE-AbstractZchn"/>
          <w:rFonts w:cs="Times New Roman"/>
          <w:i w:val="0"/>
          <w:iCs w:val="0"/>
          <w:szCs w:val="24"/>
        </w:rPr>
        <w:t xml:space="preserve"> </w:t>
      </w:r>
      <w:r w:rsidR="00C36B84">
        <w:rPr>
          <w:rStyle w:val="PLATE-AbstractZchn"/>
          <w:rFonts w:cs="Times New Roman"/>
          <w:i w:val="0"/>
          <w:iCs w:val="0"/>
          <w:szCs w:val="24"/>
        </w:rPr>
        <w:t>potential</w:t>
      </w:r>
      <w:r w:rsidRPr="002E3255">
        <w:rPr>
          <w:rStyle w:val="PLATE-AbstractZchn"/>
          <w:rFonts w:cs="Times New Roman"/>
          <w:i w:val="0"/>
          <w:iCs w:val="0"/>
          <w:szCs w:val="24"/>
        </w:rPr>
        <w:t xml:space="preserve"> for error at store level. </w:t>
      </w:r>
    </w:p>
    <w:p w14:paraId="1900B3F1" w14:textId="77777777" w:rsidR="003D3B5E" w:rsidRDefault="003D3B5E" w:rsidP="00756395">
      <w:pPr>
        <w:pStyle w:val="PLATE-Subtitle2"/>
        <w:rPr>
          <w:rStyle w:val="PLATE-AbstractZchn"/>
          <w:rFonts w:cs="Times New Roman"/>
          <w:i w:val="0"/>
          <w:iCs w:val="0"/>
          <w:szCs w:val="24"/>
        </w:rPr>
      </w:pPr>
    </w:p>
    <w:p w14:paraId="6CF78EBE" w14:textId="10654B26" w:rsidR="00756395" w:rsidRDefault="00756395" w:rsidP="00756395">
      <w:pPr>
        <w:pStyle w:val="PLATE-Subtitle2"/>
      </w:pPr>
      <w:r w:rsidRPr="002E3255">
        <w:rPr>
          <w:rStyle w:val="PLATE-AbstractZchn"/>
          <w:rFonts w:cs="Times New Roman"/>
          <w:i w:val="0"/>
          <w:iCs w:val="0"/>
          <w:szCs w:val="24"/>
        </w:rPr>
        <w:t xml:space="preserve">There is a growing trend toward unit-to-carbon saving conversion tables though these are mostly proprietary due to the large development cost involved. </w:t>
      </w:r>
      <w:r>
        <w:rPr>
          <w:rStyle w:val="PLATE-AbstractZchn"/>
          <w:rFonts w:cs="Times New Roman"/>
          <w:i w:val="0"/>
          <w:iCs w:val="0"/>
          <w:szCs w:val="24"/>
        </w:rPr>
        <w:t xml:space="preserve">Electronic Point of Sale (EPOS) </w:t>
      </w:r>
      <w:r w:rsidRPr="002E3255">
        <w:rPr>
          <w:rStyle w:val="PLATE-AbstractZchn"/>
          <w:rFonts w:cs="Times New Roman"/>
          <w:i w:val="0"/>
          <w:iCs w:val="0"/>
          <w:szCs w:val="24"/>
        </w:rPr>
        <w:t>systems offer a clear advantage in terms of collecting point of sale data. The risk of double counting or error due to online sales or repair is considered to be minimal.</w:t>
      </w:r>
    </w:p>
    <w:p w14:paraId="702BF8E5" w14:textId="77777777" w:rsidR="00756395" w:rsidRDefault="00756395" w:rsidP="00756395">
      <w:pPr>
        <w:pStyle w:val="PLATE-Subtitle2"/>
      </w:pPr>
    </w:p>
    <w:p w14:paraId="61F85C5B" w14:textId="2ACCE4D8" w:rsidR="00756395" w:rsidRPr="00E44628" w:rsidRDefault="00A304AC" w:rsidP="00565361">
      <w:pPr>
        <w:pStyle w:val="PLATE-Subtitle2"/>
        <w:jc w:val="left"/>
        <w:rPr>
          <w:b/>
          <w:bCs/>
        </w:rPr>
      </w:pPr>
      <w:r w:rsidRPr="00E44628">
        <w:rPr>
          <w:b/>
          <w:bCs/>
        </w:rPr>
        <w:t>Data e</w:t>
      </w:r>
      <w:r w:rsidR="00756395" w:rsidRPr="00E44628">
        <w:rPr>
          <w:b/>
          <w:bCs/>
        </w:rPr>
        <w:t>xtrapolation, Scaling and Accuracy</w:t>
      </w:r>
    </w:p>
    <w:p w14:paraId="0FFBEFF2" w14:textId="77777777" w:rsidR="00756395" w:rsidRPr="002E3255" w:rsidRDefault="00756395" w:rsidP="00756395">
      <w:pPr>
        <w:pStyle w:val="PLATE-Subtitle2"/>
        <w:rPr>
          <w:i w:val="0"/>
          <w:iCs w:val="0"/>
          <w:sz w:val="20"/>
          <w:szCs w:val="20"/>
        </w:rPr>
      </w:pPr>
      <w:r>
        <w:rPr>
          <w:i w:val="0"/>
          <w:iCs w:val="0"/>
          <w:sz w:val="20"/>
          <w:szCs w:val="20"/>
        </w:rPr>
        <w:t xml:space="preserve">As </w:t>
      </w:r>
      <w:r w:rsidRPr="002E3255">
        <w:rPr>
          <w:i w:val="0"/>
          <w:iCs w:val="0"/>
          <w:sz w:val="20"/>
          <w:szCs w:val="20"/>
        </w:rPr>
        <w:t>it is not always possible to gather data from all reuse activities taking place</w:t>
      </w:r>
      <w:r>
        <w:rPr>
          <w:i w:val="0"/>
          <w:iCs w:val="0"/>
          <w:sz w:val="20"/>
          <w:szCs w:val="20"/>
        </w:rPr>
        <w:t>, t</w:t>
      </w:r>
      <w:r w:rsidRPr="002E3255">
        <w:rPr>
          <w:i w:val="0"/>
          <w:iCs w:val="0"/>
          <w:sz w:val="20"/>
          <w:szCs w:val="20"/>
        </w:rPr>
        <w:t>o generate a baseline or full estimate of the amount of reuse taking place</w:t>
      </w:r>
      <w:r>
        <w:rPr>
          <w:i w:val="0"/>
          <w:iCs w:val="0"/>
          <w:sz w:val="20"/>
          <w:szCs w:val="20"/>
        </w:rPr>
        <w:t xml:space="preserve"> nationally</w:t>
      </w:r>
      <w:r w:rsidRPr="002E3255">
        <w:rPr>
          <w:i w:val="0"/>
          <w:iCs w:val="0"/>
          <w:sz w:val="20"/>
          <w:szCs w:val="20"/>
        </w:rPr>
        <w:t>, some form of extrapolation and scaling is required.</w:t>
      </w:r>
      <w:r>
        <w:rPr>
          <w:i w:val="0"/>
          <w:iCs w:val="0"/>
          <w:sz w:val="20"/>
          <w:szCs w:val="20"/>
        </w:rPr>
        <w:t xml:space="preserve"> </w:t>
      </w:r>
      <w:r w:rsidRPr="002E3255">
        <w:rPr>
          <w:i w:val="0"/>
          <w:iCs w:val="0"/>
          <w:sz w:val="20"/>
          <w:szCs w:val="20"/>
        </w:rPr>
        <w:t xml:space="preserve">Retail area and turnover are possible </w:t>
      </w:r>
      <w:r>
        <w:rPr>
          <w:i w:val="0"/>
          <w:iCs w:val="0"/>
          <w:sz w:val="20"/>
          <w:szCs w:val="20"/>
        </w:rPr>
        <w:t xml:space="preserve">secondary </w:t>
      </w:r>
      <w:r w:rsidRPr="002E3255">
        <w:rPr>
          <w:i w:val="0"/>
          <w:iCs w:val="0"/>
          <w:sz w:val="20"/>
          <w:szCs w:val="20"/>
        </w:rPr>
        <w:t xml:space="preserve">metrics for scaling up available data to represent the entire sector. A number of methods are employed to ensure the accuracy of the data including checks at micro level (specific product categories such </w:t>
      </w:r>
      <w:r>
        <w:rPr>
          <w:i w:val="0"/>
          <w:iCs w:val="0"/>
          <w:sz w:val="20"/>
          <w:szCs w:val="20"/>
        </w:rPr>
        <w:t xml:space="preserve">as </w:t>
      </w:r>
      <w:r w:rsidRPr="002E3255">
        <w:rPr>
          <w:i w:val="0"/>
          <w:iCs w:val="0"/>
          <w:sz w:val="20"/>
          <w:szCs w:val="20"/>
        </w:rPr>
        <w:t>“</w:t>
      </w:r>
      <w:proofErr w:type="spellStart"/>
      <w:r w:rsidRPr="002E3255">
        <w:rPr>
          <w:i w:val="0"/>
          <w:iCs w:val="0"/>
          <w:sz w:val="20"/>
          <w:szCs w:val="20"/>
        </w:rPr>
        <w:t>supermix</w:t>
      </w:r>
      <w:proofErr w:type="spellEnd"/>
      <w:r w:rsidRPr="002E3255">
        <w:rPr>
          <w:i w:val="0"/>
          <w:iCs w:val="0"/>
          <w:sz w:val="20"/>
          <w:szCs w:val="20"/>
        </w:rPr>
        <w:t>” donations, sales data) or auditing (accountants), as well as checks at macro level (collective data compared with historic data). It is important to strike a balance between accuracy and the accessibility of data, bearing in mind the ultimate aim of driving reuse.</w:t>
      </w:r>
      <w:r>
        <w:rPr>
          <w:i w:val="0"/>
          <w:iCs w:val="0"/>
          <w:sz w:val="20"/>
          <w:szCs w:val="20"/>
        </w:rPr>
        <w:t xml:space="preserve"> </w:t>
      </w:r>
    </w:p>
    <w:p w14:paraId="4F30C512" w14:textId="77777777" w:rsidR="00756395" w:rsidRPr="00B946BD" w:rsidRDefault="00756395" w:rsidP="00756395">
      <w:pPr>
        <w:pStyle w:val="PLATE-Text"/>
        <w:rPr>
          <w:szCs w:val="20"/>
        </w:rPr>
      </w:pPr>
    </w:p>
    <w:p w14:paraId="1D05192F" w14:textId="77777777" w:rsidR="00756395" w:rsidRPr="005B74D0" w:rsidRDefault="00756395" w:rsidP="00756395">
      <w:pPr>
        <w:pStyle w:val="PLATE-Subtitle1"/>
      </w:pPr>
      <w:r>
        <w:t>Conclusions</w:t>
      </w:r>
    </w:p>
    <w:p w14:paraId="08086AFB" w14:textId="77777777" w:rsidR="003D3B5E" w:rsidRPr="003D3B5E" w:rsidRDefault="003D3B5E" w:rsidP="003D3B5E">
      <w:pPr>
        <w:pStyle w:val="PLATE-Text"/>
        <w:rPr>
          <w:color w:val="000000" w:themeColor="text1"/>
        </w:rPr>
      </w:pPr>
      <w:r w:rsidRPr="003D3B5E">
        <w:rPr>
          <w:color w:val="000000" w:themeColor="text1"/>
        </w:rPr>
        <w:t>Based on the research carried out in Q2Reuse to date, the recommended methodology  proposes:</w:t>
      </w:r>
    </w:p>
    <w:p w14:paraId="61C43539" w14:textId="20E97E1A" w:rsidR="00756395" w:rsidRDefault="00756395" w:rsidP="00756395">
      <w:pPr>
        <w:pStyle w:val="PLATE-Text"/>
      </w:pPr>
    </w:p>
    <w:p w14:paraId="2482B9FE" w14:textId="77777777" w:rsidR="003D3B5E" w:rsidRPr="00E44628" w:rsidRDefault="003D3B5E" w:rsidP="00565361">
      <w:pPr>
        <w:pStyle w:val="PLATE-Text"/>
        <w:jc w:val="left"/>
        <w:rPr>
          <w:b/>
          <w:bCs/>
          <w:i/>
          <w:iCs/>
          <w:sz w:val="22"/>
          <w:szCs w:val="22"/>
        </w:rPr>
      </w:pPr>
      <w:r w:rsidRPr="00E44628">
        <w:rPr>
          <w:b/>
          <w:bCs/>
          <w:i/>
          <w:iCs/>
          <w:sz w:val="22"/>
          <w:szCs w:val="22"/>
        </w:rPr>
        <w:t xml:space="preserve">Periodic material category characterisation surveys using a base metric of number of units </w:t>
      </w:r>
    </w:p>
    <w:p w14:paraId="3F3AC11F" w14:textId="77777777" w:rsidR="00756395" w:rsidRDefault="00756395" w:rsidP="00756395">
      <w:pPr>
        <w:pStyle w:val="PLATE-Text"/>
      </w:pPr>
      <w:r>
        <w:t>These surveys would assess the main materials category (of 9 categories) and examine them under their various sub-categories (between 28 and 33) to generate a profile for each. While doing this, weights of the different sub-categories would be recorded to develop a statistically robust weight-based dataset for the main material subcategories. It is proposed that this data would be used, in conjunction with national data (e.g. reported data, national turnover), to generate a national profile (based on weight and individual sub-categories) of reuse in Ireland.</w:t>
      </w:r>
    </w:p>
    <w:p w14:paraId="7D862E09" w14:textId="77777777" w:rsidR="003D3B5E" w:rsidRDefault="003D3B5E" w:rsidP="00756395">
      <w:pPr>
        <w:pStyle w:val="PLATE-Text"/>
      </w:pPr>
    </w:p>
    <w:p w14:paraId="1FA0FE77" w14:textId="77777777" w:rsidR="003D3B5E" w:rsidRPr="00E44628" w:rsidRDefault="003D3B5E" w:rsidP="003D3B5E">
      <w:pPr>
        <w:pStyle w:val="PLATE-Text"/>
        <w:rPr>
          <w:b/>
          <w:bCs/>
          <w:i/>
          <w:iCs/>
          <w:sz w:val="22"/>
          <w:szCs w:val="22"/>
        </w:rPr>
      </w:pPr>
      <w:r w:rsidRPr="00E44628">
        <w:rPr>
          <w:b/>
          <w:bCs/>
          <w:i/>
          <w:iCs/>
          <w:sz w:val="22"/>
          <w:szCs w:val="22"/>
        </w:rPr>
        <w:t xml:space="preserve">Application of conversion factors </w:t>
      </w:r>
    </w:p>
    <w:p w14:paraId="23BF21F4" w14:textId="212BCB05" w:rsidR="00756395" w:rsidRDefault="00756395" w:rsidP="00756395">
      <w:pPr>
        <w:pStyle w:val="PLATE-Text"/>
      </w:pPr>
      <w:r>
        <w:t>For this bottom-up approach to be appli</w:t>
      </w:r>
      <w:r w:rsidR="003D3B5E">
        <w:t>ed</w:t>
      </w:r>
      <w:r>
        <w:t xml:space="preserve">, it will require either (or a combination of): </w:t>
      </w:r>
    </w:p>
    <w:p w14:paraId="594A78EF" w14:textId="77777777" w:rsidR="003D3B5E" w:rsidRDefault="003D3B5E" w:rsidP="003D3B5E">
      <w:pPr>
        <w:pStyle w:val="PLATE-Text"/>
        <w:numPr>
          <w:ilvl w:val="0"/>
          <w:numId w:val="5"/>
        </w:numPr>
        <w:ind w:left="426" w:hanging="284"/>
      </w:pPr>
      <w:r>
        <w:t xml:space="preserve">the whole sector (or a representative proportion) to report into a formal national system, or </w:t>
      </w:r>
    </w:p>
    <w:p w14:paraId="190E4F2E" w14:textId="77777777" w:rsidR="003D3B5E" w:rsidRDefault="003D3B5E" w:rsidP="003D3B5E">
      <w:pPr>
        <w:pStyle w:val="PLATE-Text"/>
        <w:numPr>
          <w:ilvl w:val="0"/>
          <w:numId w:val="5"/>
        </w:numPr>
        <w:ind w:left="426" w:hanging="284"/>
      </w:pPr>
      <w:r>
        <w:t xml:space="preserve">a sub-set of the sector be assessed and then used to scale up against an appropriate national dataset (e.g. turnover). </w:t>
      </w:r>
    </w:p>
    <w:p w14:paraId="3EF7A01C" w14:textId="77777777" w:rsidR="003D3B5E" w:rsidRDefault="003D3B5E" w:rsidP="00756395">
      <w:pPr>
        <w:pStyle w:val="PLATE-Text"/>
      </w:pPr>
    </w:p>
    <w:p w14:paraId="3B644956" w14:textId="086FAAC9" w:rsidR="00756395" w:rsidRDefault="00756395" w:rsidP="00756395">
      <w:pPr>
        <w:pStyle w:val="PLATE-Text"/>
      </w:pPr>
      <w:r>
        <w:t xml:space="preserve">Both of these options currently have major data gaps that would need to be addressed to be applicable. </w:t>
      </w:r>
    </w:p>
    <w:p w14:paraId="115E2B02" w14:textId="77777777" w:rsidR="00756395" w:rsidRDefault="00756395" w:rsidP="00756395">
      <w:pPr>
        <w:pStyle w:val="PLATE-Text"/>
      </w:pPr>
    </w:p>
    <w:p w14:paraId="1BF5BC70" w14:textId="77777777" w:rsidR="00E065BF" w:rsidRPr="00E44628" w:rsidRDefault="00E065BF" w:rsidP="00E065BF">
      <w:pPr>
        <w:pStyle w:val="PLATE-Text"/>
        <w:rPr>
          <w:b/>
          <w:bCs/>
          <w:i/>
          <w:iCs/>
          <w:sz w:val="22"/>
          <w:szCs w:val="22"/>
        </w:rPr>
      </w:pPr>
      <w:r w:rsidRPr="00E44628">
        <w:rPr>
          <w:b/>
          <w:bCs/>
          <w:i/>
          <w:iCs/>
          <w:sz w:val="22"/>
          <w:szCs w:val="22"/>
        </w:rPr>
        <w:t>Incentives to report for the reuse sector</w:t>
      </w:r>
    </w:p>
    <w:p w14:paraId="19938A0A" w14:textId="493F48C7" w:rsidR="00756395" w:rsidRDefault="00756395" w:rsidP="00756395">
      <w:pPr>
        <w:pStyle w:val="PLATE-Text"/>
      </w:pPr>
      <w:r>
        <w:t xml:space="preserve">Incentives will be necessary for sector buy-in. Subsidies/funding could include: </w:t>
      </w:r>
      <w:r w:rsidR="00F6667F">
        <w:t xml:space="preserve">local authority rate rebates, </w:t>
      </w:r>
      <w:r>
        <w:t>reduced VAT, gift aid, more labour activation, grants for EPOS/scale</w:t>
      </w:r>
      <w:r w:rsidR="00F6667F">
        <w:t>s</w:t>
      </w:r>
      <w:r>
        <w:t xml:space="preserve">. </w:t>
      </w:r>
      <w:r w:rsidR="00A304AC">
        <w:t>A national communications campaign</w:t>
      </w:r>
      <w:r>
        <w:t xml:space="preserve"> to promote the sector may be a useful support but not likely to be incentive enough</w:t>
      </w:r>
      <w:r w:rsidR="003D3B5E">
        <w:t xml:space="preserve"> on its own</w:t>
      </w:r>
      <w:r>
        <w:t xml:space="preserve"> to promote reporting. </w:t>
      </w:r>
    </w:p>
    <w:p w14:paraId="4C236F8F" w14:textId="77777777" w:rsidR="00756395" w:rsidRDefault="00756395" w:rsidP="00756395">
      <w:pPr>
        <w:pStyle w:val="PLATE-Text"/>
      </w:pPr>
    </w:p>
    <w:p w14:paraId="194E7CE5" w14:textId="2AF6C457" w:rsidR="003D3B5E" w:rsidRDefault="00756395" w:rsidP="001A763E">
      <w:pPr>
        <w:pStyle w:val="PLATE-Text"/>
        <w:rPr>
          <w:rStyle w:val="PLATE-AbstractZchn"/>
          <w:szCs w:val="24"/>
        </w:rPr>
      </w:pPr>
      <w:r w:rsidRPr="00324F76">
        <w:rPr>
          <w:rStyle w:val="PLATE-AbstractZchn"/>
          <w:szCs w:val="24"/>
        </w:rPr>
        <w:t>With a thorough and well-presented overview of reuse (both in quantitative and qualitative terms), policy makers can make assured and focused decisions on the most beneficial supports that are required to boost the sector</w:t>
      </w:r>
      <w:r w:rsidR="00BC1EA9">
        <w:rPr>
          <w:rStyle w:val="PLATE-AbstractZchn"/>
          <w:szCs w:val="24"/>
        </w:rPr>
        <w:t xml:space="preserve"> </w:t>
      </w:r>
      <w:r w:rsidR="00BC1EA9" w:rsidRPr="00BC1EA9">
        <w:rPr>
          <w:rStyle w:val="PLATE-AbstractZchn"/>
          <w:szCs w:val="24"/>
        </w:rPr>
        <w:t>and track the impact of policy decisions pertaining to the sector.</w:t>
      </w:r>
      <w:r w:rsidR="00BC1EA9">
        <w:rPr>
          <w:rStyle w:val="PLATE-AbstractZchn"/>
          <w:szCs w:val="24"/>
        </w:rPr>
        <w:t xml:space="preserve"> </w:t>
      </w:r>
    </w:p>
    <w:p w14:paraId="4E0ED2FA" w14:textId="77777777" w:rsidR="003D3B5E" w:rsidRDefault="003D3B5E" w:rsidP="001A763E">
      <w:pPr>
        <w:pStyle w:val="PLATE-Text"/>
        <w:rPr>
          <w:rStyle w:val="PLATE-AbstractZchn"/>
          <w:szCs w:val="24"/>
        </w:rPr>
      </w:pPr>
    </w:p>
    <w:p w14:paraId="67A142E1" w14:textId="0000F5F5" w:rsidR="003D3B5E" w:rsidRDefault="00756395" w:rsidP="001A763E">
      <w:pPr>
        <w:pStyle w:val="PLATE-Text"/>
        <w:rPr>
          <w:rStyle w:val="PLATE-AbstractZchn"/>
          <w:szCs w:val="24"/>
        </w:rPr>
      </w:pPr>
      <w:r w:rsidRPr="00324F76">
        <w:rPr>
          <w:rStyle w:val="PLATE-AbstractZchn"/>
          <w:szCs w:val="24"/>
        </w:rPr>
        <w:t>Stakeholders and practitioners of reuse can also use this information to get a balanced picture of the current status of the sector and how they can act to increase activities.</w:t>
      </w:r>
    </w:p>
    <w:p w14:paraId="0F1850DD" w14:textId="77777777" w:rsidR="003D3B5E" w:rsidRDefault="003D3B5E" w:rsidP="001A763E">
      <w:pPr>
        <w:pStyle w:val="PLATE-Text"/>
        <w:rPr>
          <w:rStyle w:val="PLATE-AbstractZchn"/>
          <w:szCs w:val="24"/>
        </w:rPr>
      </w:pPr>
    </w:p>
    <w:p w14:paraId="1C2B38B4" w14:textId="353B39C1" w:rsidR="005E2FD0" w:rsidRDefault="00756395" w:rsidP="001A763E">
      <w:pPr>
        <w:pStyle w:val="PLATE-Text"/>
        <w:rPr>
          <w:color w:val="000000" w:themeColor="text1"/>
        </w:rPr>
      </w:pPr>
      <w:r>
        <w:t>T</w:t>
      </w:r>
      <w:r w:rsidRPr="00752D6E">
        <w:t xml:space="preserve">he </w:t>
      </w:r>
      <w:r>
        <w:t>proposed national measurement methodology developed through</w:t>
      </w:r>
      <w:r w:rsidRPr="00752D6E">
        <w:t xml:space="preserve"> th</w:t>
      </w:r>
      <w:r>
        <w:t>is</w:t>
      </w:r>
      <w:r w:rsidRPr="00752D6E">
        <w:t xml:space="preserve"> research</w:t>
      </w:r>
      <w:r>
        <w:t xml:space="preserve"> represents a significant step towards </w:t>
      </w:r>
      <w:r w:rsidRPr="00752D6E">
        <w:t>Ireland</w:t>
      </w:r>
      <w:r>
        <w:t>’s progress</w:t>
      </w:r>
      <w:r w:rsidRPr="00752D6E">
        <w:t xml:space="preserve"> </w:t>
      </w:r>
      <w:r>
        <w:t xml:space="preserve">in </w:t>
      </w:r>
      <w:r w:rsidRPr="00752D6E">
        <w:t>benchmark</w:t>
      </w:r>
      <w:r>
        <w:t>ing its</w:t>
      </w:r>
      <w:r w:rsidRPr="00752D6E">
        <w:t xml:space="preserve"> reuse sector against those of other Member States and regions</w:t>
      </w:r>
      <w:r w:rsidR="003D3B5E">
        <w:t xml:space="preserve">. </w:t>
      </w:r>
      <w:r w:rsidR="003D3B5E" w:rsidRPr="003D3B5E">
        <w:rPr>
          <w:color w:val="000000" w:themeColor="text1"/>
        </w:rPr>
        <w:t>This provides Ireland with a valuable asset in meeting its future requirement to report on reuse levels to the European Union.</w:t>
      </w:r>
    </w:p>
    <w:p w14:paraId="3C2361ED" w14:textId="34709F82" w:rsidR="00626BB7" w:rsidRDefault="00626BB7" w:rsidP="001A763E">
      <w:pPr>
        <w:pStyle w:val="PLATE-Text"/>
        <w:rPr>
          <w:color w:val="000000" w:themeColor="text1"/>
        </w:rPr>
      </w:pPr>
    </w:p>
    <w:p w14:paraId="34789EA5" w14:textId="77777777" w:rsidR="00626BB7" w:rsidRPr="005B74D0" w:rsidRDefault="00626BB7" w:rsidP="00626BB7">
      <w:pPr>
        <w:jc w:val="both"/>
        <w:rPr>
          <w:rFonts w:ascii="Arial" w:hAnsi="Arial" w:cs="Arial"/>
          <w:b/>
          <w:bCs/>
        </w:rPr>
      </w:pPr>
      <w:r>
        <w:rPr>
          <w:rFonts w:ascii="Arial" w:hAnsi="Arial" w:cs="Arial"/>
          <w:b/>
          <w:bCs/>
        </w:rPr>
        <w:t>Acknowledgments</w:t>
      </w:r>
    </w:p>
    <w:p w14:paraId="5FA412F8" w14:textId="32A07E74" w:rsidR="00626BB7" w:rsidRPr="003C23F1" w:rsidRDefault="00626BB7" w:rsidP="00626BB7">
      <w:pPr>
        <w:pStyle w:val="PLATE-Text"/>
      </w:pPr>
      <w:r>
        <w:rPr>
          <w:rFonts w:cs="Arial"/>
          <w:szCs w:val="20"/>
        </w:rPr>
        <w:t>T</w:t>
      </w:r>
      <w:r w:rsidR="00A16E97">
        <w:rPr>
          <w:rFonts w:cs="Arial"/>
          <w:szCs w:val="20"/>
        </w:rPr>
        <w:t xml:space="preserve">his research was funded under the </w:t>
      </w:r>
      <w:r w:rsidR="00A16E97" w:rsidRPr="00A16E97">
        <w:rPr>
          <w:rFonts w:cs="Arial"/>
          <w:szCs w:val="20"/>
        </w:rPr>
        <w:t>EPA Research Programme 2014-2020</w:t>
      </w:r>
      <w:r w:rsidR="00A16E97">
        <w:rPr>
          <w:rFonts w:cs="Arial"/>
          <w:szCs w:val="20"/>
        </w:rPr>
        <w:t xml:space="preserve">. </w:t>
      </w:r>
    </w:p>
    <w:p w14:paraId="0E69FF7F" w14:textId="77777777" w:rsidR="0063414D" w:rsidRDefault="0063414D">
      <w:pPr>
        <w:rPr>
          <w:rFonts w:ascii="Arial" w:hAnsi="Arial" w:cs="Arial"/>
          <w:b/>
          <w:bCs/>
        </w:rPr>
      </w:pPr>
      <w:r>
        <w:br w:type="page"/>
      </w:r>
    </w:p>
    <w:p w14:paraId="0F7E605E" w14:textId="77777777" w:rsidR="003D3B5E" w:rsidRPr="005B74D0" w:rsidRDefault="003D3B5E" w:rsidP="003D3B5E">
      <w:pPr>
        <w:pStyle w:val="PLATE-Subtitle1"/>
      </w:pPr>
      <w:r>
        <w:lastRenderedPageBreak/>
        <w:t>References</w:t>
      </w:r>
    </w:p>
    <w:p w14:paraId="7E43B4EF" w14:textId="77777777" w:rsidR="003D3B5E" w:rsidRDefault="003D3B5E" w:rsidP="003D3B5E">
      <w:pPr>
        <w:jc w:val="both"/>
        <w:rPr>
          <w:rFonts w:ascii="Arial" w:hAnsi="Arial" w:cs="Arial"/>
          <w:sz w:val="18"/>
          <w:szCs w:val="18"/>
        </w:rPr>
      </w:pPr>
    </w:p>
    <w:p w14:paraId="6884D27D" w14:textId="77777777" w:rsidR="000D2007" w:rsidRPr="004B6CF2" w:rsidRDefault="000D2007" w:rsidP="003D3B5E">
      <w:pPr>
        <w:jc w:val="both"/>
        <w:rPr>
          <w:rFonts w:ascii="Arial" w:hAnsi="Arial" w:cs="Arial"/>
          <w:sz w:val="18"/>
          <w:szCs w:val="18"/>
          <w:lang w:val="en-GB"/>
        </w:rPr>
      </w:pPr>
      <w:r w:rsidRPr="004B6CF2">
        <w:rPr>
          <w:rFonts w:ascii="Arial" w:hAnsi="Arial" w:cs="Arial"/>
          <w:sz w:val="18"/>
          <w:szCs w:val="18"/>
          <w:lang w:val="en-GB"/>
        </w:rPr>
        <w:t xml:space="preserve">(EC) European Commission (2008). Directive 2008/98/EC of the European Parliament and of the Council amending Directive amending Directive 2008/98/EC on Waste. (Waste Framework Directive) Available at </w:t>
      </w:r>
      <w:hyperlink r:id="rId11" w:history="1">
        <w:r w:rsidRPr="004B6CF2">
          <w:rPr>
            <w:rStyle w:val="Hyperlink"/>
            <w:rFonts w:ascii="Arial" w:hAnsi="Arial" w:cs="Arial"/>
            <w:sz w:val="18"/>
            <w:szCs w:val="18"/>
            <w:lang w:val="en-GB"/>
          </w:rPr>
          <w:t>http://data.consilium.europa.eu/doc/document/PE-11-2018-REV-2/en/pdf</w:t>
        </w:r>
      </w:hyperlink>
    </w:p>
    <w:p w14:paraId="4A8BF02F" w14:textId="77777777" w:rsidR="000D2007" w:rsidRPr="004B6CF2" w:rsidRDefault="000D2007" w:rsidP="003D3B5E">
      <w:pPr>
        <w:spacing w:before="240"/>
        <w:jc w:val="both"/>
        <w:rPr>
          <w:rFonts w:ascii="Arial" w:hAnsi="Arial" w:cs="Arial"/>
          <w:sz w:val="18"/>
          <w:szCs w:val="18"/>
          <w:lang w:val="en-GB"/>
        </w:rPr>
      </w:pPr>
      <w:r w:rsidRPr="004B6CF2">
        <w:rPr>
          <w:rFonts w:ascii="Arial" w:hAnsi="Arial" w:cs="Arial"/>
          <w:sz w:val="18"/>
          <w:szCs w:val="18"/>
          <w:lang w:val="en-GB"/>
        </w:rPr>
        <w:t xml:space="preserve">(EC) European Commission (2020) </w:t>
      </w:r>
      <w:r w:rsidRPr="004B6CF2">
        <w:rPr>
          <w:rFonts w:ascii="Arial" w:hAnsi="Arial" w:cs="Arial"/>
          <w:i/>
          <w:iCs/>
          <w:sz w:val="18"/>
          <w:szCs w:val="18"/>
          <w:lang w:val="en-GB"/>
        </w:rPr>
        <w:t>Closing the loop – EU Circular Economy Action Plan (CEAP).</w:t>
      </w:r>
      <w:r w:rsidRPr="004B6CF2">
        <w:rPr>
          <w:rFonts w:ascii="Arial" w:hAnsi="Arial" w:cs="Arial"/>
          <w:sz w:val="18"/>
          <w:szCs w:val="18"/>
          <w:lang w:val="en-GB"/>
        </w:rPr>
        <w:t xml:space="preserve"> Brussels, Belgium: European Union. Available at: </w:t>
      </w:r>
      <w:hyperlink r:id="rId12" w:history="1">
        <w:r w:rsidRPr="004B6CF2">
          <w:rPr>
            <w:rStyle w:val="Hyperlink"/>
            <w:rFonts w:ascii="Arial" w:hAnsi="Arial" w:cs="Arial"/>
            <w:sz w:val="18"/>
            <w:szCs w:val="18"/>
            <w:lang w:val="en-GB"/>
          </w:rPr>
          <w:t>https://ec.europa.eu/environment/strategy/circular-economy-action-plan_en</w:t>
        </w:r>
      </w:hyperlink>
    </w:p>
    <w:p w14:paraId="13C97E25" w14:textId="77777777" w:rsidR="000D2007" w:rsidRDefault="000D2007" w:rsidP="003D3B5E">
      <w:pPr>
        <w:jc w:val="both"/>
        <w:rPr>
          <w:rFonts w:ascii="Arial" w:hAnsi="Arial" w:cs="Arial"/>
          <w:sz w:val="18"/>
          <w:szCs w:val="18"/>
          <w:lang w:val="en-GB"/>
        </w:rPr>
      </w:pPr>
    </w:p>
    <w:p w14:paraId="758A0EB1" w14:textId="3B324D3A" w:rsidR="000D2007" w:rsidRPr="004B6CF2" w:rsidRDefault="000D2007" w:rsidP="003D3B5E">
      <w:pPr>
        <w:jc w:val="both"/>
        <w:rPr>
          <w:rFonts w:ascii="Arial" w:hAnsi="Arial" w:cs="Arial"/>
          <w:sz w:val="18"/>
          <w:szCs w:val="18"/>
          <w:lang w:val="en-GB"/>
        </w:rPr>
      </w:pPr>
      <w:r w:rsidRPr="004B6CF2">
        <w:rPr>
          <w:rFonts w:ascii="Arial" w:hAnsi="Arial" w:cs="Arial"/>
          <w:sz w:val="18"/>
          <w:szCs w:val="18"/>
          <w:lang w:val="en-GB"/>
        </w:rPr>
        <w:t xml:space="preserve">(EC) European Commission. (2015) </w:t>
      </w:r>
      <w:r w:rsidRPr="000D2007">
        <w:rPr>
          <w:rFonts w:ascii="Arial" w:hAnsi="Arial" w:cs="Arial"/>
          <w:i/>
          <w:iCs/>
          <w:sz w:val="18"/>
          <w:szCs w:val="18"/>
          <w:lang w:val="en-GB"/>
        </w:rPr>
        <w:t>Circular Economy Action Plan (CEAP),</w:t>
      </w:r>
      <w:r w:rsidRPr="004B6CF2">
        <w:rPr>
          <w:rFonts w:ascii="Arial" w:hAnsi="Arial" w:cs="Arial"/>
          <w:sz w:val="18"/>
          <w:szCs w:val="18"/>
          <w:lang w:val="en-GB"/>
        </w:rPr>
        <w:t xml:space="preserve"> Communication from the Commission to the European Parliament …: Closing the loop – An EU action plan for the Circular Economy, available at: </w:t>
      </w:r>
      <w:hyperlink r:id="rId13" w:history="1">
        <w:r w:rsidRPr="004B6CF2">
          <w:rPr>
            <w:rStyle w:val="Hyperlink"/>
            <w:rFonts w:ascii="Arial" w:hAnsi="Arial" w:cs="Arial"/>
            <w:sz w:val="18"/>
            <w:szCs w:val="18"/>
            <w:lang w:val="en-GB"/>
          </w:rPr>
          <w:t>https://eur-lex.europa.eu/legal-content/EN/TXT/?uri=CELEX:52015DC0614</w:t>
        </w:r>
      </w:hyperlink>
      <w:r w:rsidRPr="004B6CF2">
        <w:rPr>
          <w:rFonts w:ascii="Arial" w:hAnsi="Arial" w:cs="Arial"/>
          <w:sz w:val="18"/>
          <w:szCs w:val="18"/>
          <w:lang w:val="en-GB"/>
        </w:rPr>
        <w:t xml:space="preserve"> </w:t>
      </w:r>
    </w:p>
    <w:p w14:paraId="73D11672" w14:textId="77777777" w:rsidR="000D2007" w:rsidRDefault="000D2007" w:rsidP="003D3B5E">
      <w:pPr>
        <w:jc w:val="both"/>
        <w:rPr>
          <w:rFonts w:ascii="Arial" w:hAnsi="Arial" w:cs="Arial"/>
          <w:sz w:val="18"/>
          <w:szCs w:val="18"/>
          <w:lang w:val="en-GB"/>
        </w:rPr>
      </w:pPr>
    </w:p>
    <w:p w14:paraId="4C62916A" w14:textId="33F908BD" w:rsidR="000D2007" w:rsidRPr="004B6CF2" w:rsidRDefault="000D2007" w:rsidP="003D3B5E">
      <w:pPr>
        <w:jc w:val="both"/>
        <w:rPr>
          <w:rFonts w:ascii="Arial" w:hAnsi="Arial" w:cs="Arial"/>
          <w:sz w:val="18"/>
          <w:szCs w:val="18"/>
          <w:lang w:val="en-GB"/>
        </w:rPr>
      </w:pPr>
      <w:r w:rsidRPr="004B6CF2">
        <w:rPr>
          <w:rFonts w:ascii="Arial" w:hAnsi="Arial" w:cs="Arial"/>
          <w:sz w:val="18"/>
          <w:szCs w:val="18"/>
          <w:lang w:val="en-GB"/>
        </w:rPr>
        <w:t xml:space="preserve">(EC) European Commission. (2018). Directive (EU) 2018/…of the European Parliament and of the Council amending Directive 2008/98/EC on Waste, p 16, The European Parliament and the Council of the European Union. (Waste Framework Directive) Available at </w:t>
      </w:r>
      <w:hyperlink r:id="rId14" w:history="1">
        <w:r w:rsidRPr="004B6CF2">
          <w:rPr>
            <w:rStyle w:val="Hyperlink"/>
            <w:rFonts w:ascii="Arial" w:hAnsi="Arial" w:cs="Arial"/>
            <w:sz w:val="18"/>
            <w:szCs w:val="18"/>
            <w:lang w:val="en-GB"/>
          </w:rPr>
          <w:t>http://data.consilium.europa.eu/doc/document/PE-11-2018-REV-2/en/pdf</w:t>
        </w:r>
      </w:hyperlink>
    </w:p>
    <w:p w14:paraId="25595337" w14:textId="77777777" w:rsidR="000D2007" w:rsidRPr="004B6CF2" w:rsidRDefault="000D2007" w:rsidP="003D3B5E">
      <w:pPr>
        <w:spacing w:before="240"/>
        <w:jc w:val="both"/>
        <w:rPr>
          <w:rFonts w:ascii="Arial" w:hAnsi="Arial" w:cs="Arial"/>
          <w:sz w:val="18"/>
          <w:szCs w:val="18"/>
          <w:lang w:val="en-GB"/>
        </w:rPr>
      </w:pPr>
      <w:proofErr w:type="spellStart"/>
      <w:r w:rsidRPr="004B6CF2">
        <w:rPr>
          <w:rFonts w:ascii="Arial" w:hAnsi="Arial" w:cs="Arial"/>
          <w:sz w:val="18"/>
          <w:szCs w:val="18"/>
          <w:lang w:val="en-GB"/>
        </w:rPr>
        <w:t>Gsell</w:t>
      </w:r>
      <w:proofErr w:type="spellEnd"/>
      <w:r w:rsidRPr="004B6CF2">
        <w:rPr>
          <w:rFonts w:ascii="Arial" w:hAnsi="Arial" w:cs="Arial"/>
          <w:sz w:val="18"/>
          <w:szCs w:val="18"/>
          <w:lang w:val="en-GB"/>
        </w:rPr>
        <w:t xml:space="preserve">, M. et al, (2019) </w:t>
      </w:r>
      <w:r w:rsidRPr="004B6CF2">
        <w:rPr>
          <w:rFonts w:ascii="Arial" w:hAnsi="Arial" w:cs="Arial"/>
          <w:i/>
          <w:iCs/>
          <w:sz w:val="18"/>
          <w:szCs w:val="18"/>
          <w:lang w:val="en-GB"/>
        </w:rPr>
        <w:t>Methodology for the reporting of re-use of products and rules for the reporting of reusable packaging</w:t>
      </w:r>
      <w:r w:rsidRPr="004B6CF2">
        <w:rPr>
          <w:rFonts w:ascii="Arial" w:hAnsi="Arial" w:cs="Arial"/>
          <w:sz w:val="18"/>
          <w:szCs w:val="18"/>
          <w:lang w:val="en-GB"/>
        </w:rPr>
        <w:t xml:space="preserve">, for Directorate-General for Environment (European Commission) Contract No. 07.0201/2018/784856/ENV.B.3, available at </w:t>
      </w:r>
      <w:hyperlink r:id="rId15" w:history="1">
        <w:r w:rsidRPr="004B6CF2">
          <w:rPr>
            <w:rStyle w:val="Hyperlink"/>
            <w:rFonts w:ascii="Arial" w:hAnsi="Arial" w:cs="Arial"/>
            <w:sz w:val="18"/>
            <w:szCs w:val="18"/>
            <w:lang w:val="en-GB"/>
          </w:rPr>
          <w:t>https://op.europa.eu/en/publication-detail/-/publication/9878e12a-1bc4-11ea-8c1f-01aa75ed71a1</w:t>
        </w:r>
      </w:hyperlink>
      <w:r w:rsidRPr="004B6CF2">
        <w:rPr>
          <w:rFonts w:ascii="Arial" w:hAnsi="Arial" w:cs="Arial"/>
          <w:sz w:val="18"/>
          <w:szCs w:val="18"/>
          <w:lang w:val="en-GB"/>
        </w:rPr>
        <w:t xml:space="preserve"> </w:t>
      </w:r>
    </w:p>
    <w:p w14:paraId="1FC6E689" w14:textId="77777777" w:rsidR="000D2007" w:rsidRDefault="000D2007" w:rsidP="003D3B5E">
      <w:pPr>
        <w:jc w:val="both"/>
        <w:rPr>
          <w:rFonts w:ascii="Arial" w:hAnsi="Arial" w:cs="Arial"/>
          <w:sz w:val="18"/>
          <w:szCs w:val="18"/>
          <w:lang w:val="en-GB"/>
        </w:rPr>
      </w:pPr>
    </w:p>
    <w:p w14:paraId="6EDA1E26" w14:textId="375700CF" w:rsidR="000D2007" w:rsidRPr="004B6CF2" w:rsidRDefault="000D2007" w:rsidP="003D3B5E">
      <w:pPr>
        <w:jc w:val="both"/>
        <w:rPr>
          <w:rFonts w:ascii="Arial" w:hAnsi="Arial" w:cs="Arial"/>
          <w:sz w:val="18"/>
          <w:szCs w:val="18"/>
          <w:lang w:val="en-GB"/>
        </w:rPr>
      </w:pPr>
      <w:r w:rsidRPr="004B6CF2">
        <w:rPr>
          <w:rFonts w:ascii="Arial" w:hAnsi="Arial" w:cs="Arial"/>
          <w:sz w:val="18"/>
          <w:szCs w:val="18"/>
          <w:lang w:val="en-GB"/>
        </w:rPr>
        <w:t xml:space="preserve">Johnson, M., McMahon, K. and Fitzpatrick, C. (2018) </w:t>
      </w:r>
      <w:r w:rsidRPr="004B6CF2">
        <w:rPr>
          <w:rFonts w:ascii="Arial" w:hAnsi="Arial" w:cs="Arial"/>
          <w:i/>
          <w:iCs/>
          <w:sz w:val="18"/>
          <w:szCs w:val="18"/>
          <w:lang w:val="en-GB"/>
        </w:rPr>
        <w:t>Research of Upcycling Supports to Increase Reuse, with a Focus on Waste Electrical and Electronic Equipment (</w:t>
      </w:r>
      <w:proofErr w:type="spellStart"/>
      <w:r w:rsidRPr="004B6CF2">
        <w:rPr>
          <w:rFonts w:ascii="Arial" w:hAnsi="Arial" w:cs="Arial"/>
          <w:i/>
          <w:iCs/>
          <w:sz w:val="18"/>
          <w:szCs w:val="18"/>
          <w:lang w:val="en-GB"/>
        </w:rPr>
        <w:t>UpWEEE</w:t>
      </w:r>
      <w:proofErr w:type="spellEnd"/>
      <w:r w:rsidRPr="004B6CF2">
        <w:rPr>
          <w:rFonts w:ascii="Arial" w:hAnsi="Arial" w:cs="Arial"/>
          <w:i/>
          <w:iCs/>
          <w:sz w:val="18"/>
          <w:szCs w:val="18"/>
          <w:lang w:val="en-GB"/>
        </w:rPr>
        <w:t>),</w:t>
      </w:r>
      <w:r w:rsidRPr="004B6CF2">
        <w:rPr>
          <w:rFonts w:ascii="Arial" w:hAnsi="Arial" w:cs="Arial"/>
          <w:sz w:val="18"/>
          <w:szCs w:val="18"/>
          <w:lang w:val="en-GB"/>
        </w:rPr>
        <w:t xml:space="preserve"> EPA Research Report #241, available at </w:t>
      </w:r>
      <w:hyperlink r:id="rId16" w:history="1">
        <w:r w:rsidRPr="004B6CF2">
          <w:rPr>
            <w:rStyle w:val="Hyperlink"/>
            <w:rFonts w:ascii="Arial" w:hAnsi="Arial" w:cs="Arial"/>
            <w:sz w:val="18"/>
            <w:szCs w:val="18"/>
            <w:lang w:val="en-GB"/>
          </w:rPr>
          <w:t>http://www.epa.ie/pubs/reports/research/waste/Research_Report_241.pdf</w:t>
        </w:r>
      </w:hyperlink>
      <w:r w:rsidRPr="004B6CF2">
        <w:rPr>
          <w:rFonts w:ascii="Arial" w:hAnsi="Arial" w:cs="Arial"/>
          <w:sz w:val="18"/>
          <w:szCs w:val="18"/>
          <w:lang w:val="en-GB"/>
        </w:rPr>
        <w:t xml:space="preserve"> </w:t>
      </w:r>
    </w:p>
    <w:p w14:paraId="499B6ACB" w14:textId="77777777" w:rsidR="000D2007" w:rsidRDefault="000D2007" w:rsidP="003D3B5E">
      <w:pPr>
        <w:jc w:val="both"/>
        <w:rPr>
          <w:rFonts w:ascii="Arial" w:hAnsi="Arial" w:cs="Arial"/>
          <w:sz w:val="18"/>
          <w:szCs w:val="18"/>
          <w:lang w:val="de-DE"/>
        </w:rPr>
      </w:pPr>
    </w:p>
    <w:p w14:paraId="40C38859" w14:textId="2C86C760" w:rsidR="000D2007" w:rsidRPr="004B6CF2" w:rsidRDefault="000D2007" w:rsidP="003D3B5E">
      <w:pPr>
        <w:jc w:val="both"/>
        <w:rPr>
          <w:rFonts w:ascii="Arial" w:hAnsi="Arial" w:cs="Arial"/>
          <w:sz w:val="18"/>
          <w:szCs w:val="18"/>
          <w:lang w:val="en-GB"/>
        </w:rPr>
      </w:pPr>
      <w:r w:rsidRPr="004B6CF2">
        <w:rPr>
          <w:rFonts w:ascii="Arial" w:hAnsi="Arial" w:cs="Arial"/>
          <w:sz w:val="18"/>
          <w:szCs w:val="18"/>
          <w:lang w:val="de-DE"/>
        </w:rPr>
        <w:t xml:space="preserve">Kashkoush, M., &amp; El Maraghy, H. (2016). </w:t>
      </w:r>
      <w:r w:rsidRPr="004B6CF2">
        <w:rPr>
          <w:rFonts w:ascii="Arial" w:hAnsi="Arial" w:cs="Arial"/>
          <w:i/>
          <w:iCs/>
          <w:sz w:val="18"/>
          <w:szCs w:val="18"/>
          <w:lang w:val="en-GB"/>
        </w:rPr>
        <w:t>Optimum Overall Product Modularity</w:t>
      </w:r>
      <w:r w:rsidRPr="004B6CF2">
        <w:rPr>
          <w:rFonts w:ascii="Arial" w:hAnsi="Arial" w:cs="Arial"/>
          <w:sz w:val="18"/>
          <w:szCs w:val="18"/>
          <w:lang w:val="en-GB"/>
        </w:rPr>
        <w:t>, 6th CIRP Conference on Assembly Technologies and Systems (CATS) Procedia CIRP 44, p. 55 – 60</w:t>
      </w:r>
    </w:p>
    <w:p w14:paraId="02818CC4" w14:textId="77777777" w:rsidR="000D2007" w:rsidRDefault="000D2007" w:rsidP="003D3B5E">
      <w:pPr>
        <w:jc w:val="both"/>
        <w:rPr>
          <w:rFonts w:ascii="Arial" w:hAnsi="Arial" w:cs="Arial"/>
          <w:sz w:val="18"/>
          <w:szCs w:val="18"/>
          <w:lang w:val="en-GB"/>
        </w:rPr>
      </w:pPr>
    </w:p>
    <w:p w14:paraId="4534328A" w14:textId="1DE20889" w:rsidR="000D2007" w:rsidRPr="0063414D" w:rsidRDefault="000D2007" w:rsidP="000D2007">
      <w:pPr>
        <w:ind w:left="113" w:hanging="113"/>
        <w:jc w:val="both"/>
        <w:rPr>
          <w:rFonts w:ascii="Arial" w:hAnsi="Arial" w:cs="Arial"/>
          <w:sz w:val="18"/>
          <w:szCs w:val="18"/>
          <w:lang w:val="en-GB"/>
        </w:rPr>
      </w:pPr>
      <w:r w:rsidRPr="004B6CF2">
        <w:rPr>
          <w:rFonts w:ascii="Arial" w:hAnsi="Arial" w:cs="Arial"/>
          <w:sz w:val="18"/>
          <w:szCs w:val="18"/>
          <w:lang w:val="en-GB"/>
        </w:rPr>
        <w:t xml:space="preserve">Q2Reuse (2020) </w:t>
      </w:r>
      <w:r w:rsidRPr="004B6CF2">
        <w:rPr>
          <w:rFonts w:ascii="Arial" w:hAnsi="Arial" w:cs="Arial"/>
          <w:i/>
          <w:iCs/>
          <w:sz w:val="18"/>
          <w:szCs w:val="18"/>
          <w:lang w:val="en-GB"/>
        </w:rPr>
        <w:t>Summary Report on International</w:t>
      </w:r>
      <w:r w:rsidRPr="000D2007">
        <w:rPr>
          <w:rFonts w:ascii="Arial" w:hAnsi="Arial" w:cs="Arial"/>
          <w:i/>
          <w:iCs/>
          <w:sz w:val="18"/>
          <w:szCs w:val="18"/>
          <w:lang w:val="en-GB"/>
        </w:rPr>
        <w:t xml:space="preserve"> </w:t>
      </w:r>
      <w:r w:rsidRPr="004B6CF2">
        <w:rPr>
          <w:rFonts w:ascii="Arial" w:hAnsi="Arial" w:cs="Arial"/>
          <w:i/>
          <w:iCs/>
          <w:sz w:val="18"/>
          <w:szCs w:val="18"/>
          <w:lang w:val="en-GB"/>
        </w:rPr>
        <w:t>Best Practice</w:t>
      </w:r>
      <w:r w:rsidRPr="004B6CF2">
        <w:rPr>
          <w:rFonts w:ascii="Arial" w:hAnsi="Arial" w:cs="Arial"/>
          <w:sz w:val="18"/>
          <w:szCs w:val="18"/>
          <w:lang w:val="en-GB"/>
        </w:rPr>
        <w:t xml:space="preserve">. Cork, Ireland </w:t>
      </w:r>
      <w:hyperlink r:id="rId17" w:history="1">
        <w:r w:rsidRPr="004B6CF2">
          <w:rPr>
            <w:rStyle w:val="Hyperlink"/>
            <w:rFonts w:ascii="Arial" w:hAnsi="Arial" w:cs="Arial"/>
            <w:sz w:val="18"/>
            <w:szCs w:val="18"/>
            <w:lang w:val="en-GB"/>
          </w:rPr>
          <w:t>https://ctc-cork.ie/wp-content/uploads/2019/04/Q2-Summary-Report.pdf</w:t>
        </w:r>
      </w:hyperlink>
      <w:r>
        <w:rPr>
          <w:rFonts w:ascii="Arial" w:hAnsi="Arial" w:cs="Arial"/>
          <w:sz w:val="18"/>
          <w:szCs w:val="18"/>
          <w:lang w:val="en-GB"/>
        </w:rPr>
        <w:t xml:space="preserve"> </w:t>
      </w:r>
    </w:p>
    <w:p w14:paraId="28529194" w14:textId="7E83B5CA" w:rsidR="000D2007" w:rsidRPr="004B6CF2" w:rsidRDefault="000D2007" w:rsidP="003D3B5E">
      <w:pPr>
        <w:jc w:val="both"/>
        <w:rPr>
          <w:rFonts w:ascii="Arial" w:hAnsi="Arial" w:cs="Arial"/>
          <w:sz w:val="18"/>
          <w:szCs w:val="18"/>
          <w:lang w:val="en-GB"/>
        </w:rPr>
      </w:pPr>
    </w:p>
    <w:p w14:paraId="7D80AE4B" w14:textId="4CAB6CDB" w:rsidR="00D92A31" w:rsidRDefault="00D92A31" w:rsidP="00D66515">
      <w:pPr>
        <w:jc w:val="both"/>
      </w:pPr>
    </w:p>
    <w:p w14:paraId="677BDFE7" w14:textId="77777777" w:rsidR="00D92A31" w:rsidRDefault="00D92A31" w:rsidP="00D66515">
      <w:pPr>
        <w:jc w:val="both"/>
      </w:pPr>
    </w:p>
    <w:p w14:paraId="220FFF3D" w14:textId="77777777" w:rsidR="005B74D0" w:rsidRDefault="005B74D0" w:rsidP="00D66515">
      <w:pPr>
        <w:jc w:val="both"/>
      </w:pPr>
    </w:p>
    <w:p w14:paraId="5ABF9CE0" w14:textId="77777777" w:rsidR="005B74D0" w:rsidRDefault="005B74D0" w:rsidP="00D66515">
      <w:pPr>
        <w:jc w:val="both"/>
      </w:pPr>
    </w:p>
    <w:p w14:paraId="03F235CA" w14:textId="77777777" w:rsidR="005B74D0" w:rsidRDefault="005B74D0" w:rsidP="00D66515">
      <w:pPr>
        <w:jc w:val="both"/>
      </w:pPr>
    </w:p>
    <w:p w14:paraId="7E0635E2" w14:textId="77777777" w:rsidR="005B74D0" w:rsidRDefault="005B74D0" w:rsidP="00D66515">
      <w:pPr>
        <w:jc w:val="both"/>
      </w:pPr>
    </w:p>
    <w:p w14:paraId="4F4E2573" w14:textId="77777777" w:rsidR="005B74D0" w:rsidRDefault="005B74D0" w:rsidP="00D66515">
      <w:pPr>
        <w:jc w:val="both"/>
      </w:pPr>
    </w:p>
    <w:p w14:paraId="03FF7A7B" w14:textId="77777777" w:rsidR="005B74D0" w:rsidRDefault="005B74D0" w:rsidP="00D66515">
      <w:pPr>
        <w:jc w:val="both"/>
      </w:pPr>
    </w:p>
    <w:p w14:paraId="7B0A8205" w14:textId="04849302" w:rsidR="005B74D0" w:rsidRDefault="0063414D" w:rsidP="00E43EAE">
      <w:r>
        <w:br w:type="page"/>
      </w:r>
      <w:r w:rsidR="00D35544">
        <w:lastRenderedPageBreak/>
        <w:t>R</w:t>
      </w:r>
      <w:r w:rsidR="00D35544" w:rsidRPr="00D35544">
        <w:t>euse flowchart diagram</w:t>
      </w:r>
    </w:p>
    <w:p w14:paraId="5D2AE2A4" w14:textId="01E97170" w:rsidR="005B74D0" w:rsidRDefault="005B74D0" w:rsidP="00D66515">
      <w:pPr>
        <w:jc w:val="both"/>
      </w:pPr>
    </w:p>
    <w:p w14:paraId="43072CDD" w14:textId="4ACE0885" w:rsidR="005B74D0" w:rsidRDefault="0069467C" w:rsidP="00D66515">
      <w:pPr>
        <w:jc w:val="both"/>
      </w:pPr>
      <w:r w:rsidRPr="003B600B">
        <w:rPr>
          <w:rStyle w:val="PLATE-CaptionZchn"/>
        </w:rPr>
        <w:t xml:space="preserve">Figure 1. </w:t>
      </w:r>
      <w:proofErr w:type="spellStart"/>
      <w:r w:rsidR="00E17A23">
        <w:rPr>
          <w:rStyle w:val="PLATE-CaptionZchn"/>
        </w:rPr>
        <w:t>Reuse</w:t>
      </w:r>
      <w:proofErr w:type="spellEnd"/>
      <w:r w:rsidR="00E17A23">
        <w:rPr>
          <w:rStyle w:val="PLATE-CaptionZchn"/>
        </w:rPr>
        <w:t xml:space="preserve"> </w:t>
      </w:r>
      <w:proofErr w:type="spellStart"/>
      <w:r w:rsidR="00E17A23">
        <w:rPr>
          <w:rStyle w:val="PLATE-CaptionZchn"/>
        </w:rPr>
        <w:t>flowchart</w:t>
      </w:r>
      <w:proofErr w:type="spellEnd"/>
      <w:r w:rsidR="00E17A23">
        <w:rPr>
          <w:rStyle w:val="PLATE-CaptionZchn"/>
        </w:rPr>
        <w:t xml:space="preserve"> </w:t>
      </w:r>
      <w:proofErr w:type="spellStart"/>
      <w:r w:rsidR="00E17A23">
        <w:rPr>
          <w:rStyle w:val="PLATE-CaptionZchn"/>
        </w:rPr>
        <w:t>diagram</w:t>
      </w:r>
      <w:proofErr w:type="spellEnd"/>
    </w:p>
    <w:p w14:paraId="05510284" w14:textId="1D88555D" w:rsidR="005B74D0" w:rsidRDefault="00E43EAE" w:rsidP="00D66515">
      <w:pPr>
        <w:jc w:val="both"/>
      </w:pPr>
      <w:r>
        <w:rPr>
          <w:noProof/>
          <w:lang w:eastAsia="en-IE"/>
        </w:rPr>
        <w:drawing>
          <wp:anchor distT="0" distB="0" distL="114300" distR="114300" simplePos="0" relativeHeight="251659264" behindDoc="0" locked="0" layoutInCell="1" allowOverlap="1" wp14:anchorId="3F9BE5C8" wp14:editId="0EA7E2CA">
            <wp:simplePos x="0" y="0"/>
            <wp:positionH relativeFrom="column">
              <wp:posOffset>-1</wp:posOffset>
            </wp:positionH>
            <wp:positionV relativeFrom="paragraph">
              <wp:posOffset>21535</wp:posOffset>
            </wp:positionV>
            <wp:extent cx="5812971" cy="7612890"/>
            <wp:effectExtent l="0" t="0" r="3810" b="0"/>
            <wp:wrapNone/>
            <wp:docPr id="1" name="Picture 1"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817553" cy="7618890"/>
                    </a:xfrm>
                    <a:prstGeom prst="rect">
                      <a:avLst/>
                    </a:prstGeom>
                  </pic:spPr>
                </pic:pic>
              </a:graphicData>
            </a:graphic>
            <wp14:sizeRelH relativeFrom="page">
              <wp14:pctWidth>0</wp14:pctWidth>
            </wp14:sizeRelH>
            <wp14:sizeRelV relativeFrom="page">
              <wp14:pctHeight>0</wp14:pctHeight>
            </wp14:sizeRelV>
          </wp:anchor>
        </w:drawing>
      </w:r>
    </w:p>
    <w:p w14:paraId="0FDA2878" w14:textId="394958A6" w:rsidR="005B74D0" w:rsidRDefault="005B74D0" w:rsidP="00D66515">
      <w:pPr>
        <w:jc w:val="both"/>
      </w:pPr>
    </w:p>
    <w:p w14:paraId="3F4F4502" w14:textId="60BF14A8" w:rsidR="005B74D0" w:rsidRDefault="005B74D0" w:rsidP="00D66515">
      <w:pPr>
        <w:jc w:val="both"/>
      </w:pPr>
    </w:p>
    <w:p w14:paraId="5F172728" w14:textId="77777777" w:rsidR="005B74D0" w:rsidRDefault="005B74D0" w:rsidP="00D66515">
      <w:pPr>
        <w:jc w:val="both"/>
      </w:pPr>
    </w:p>
    <w:p w14:paraId="164603AC" w14:textId="77777777" w:rsidR="005B74D0" w:rsidRDefault="005B74D0" w:rsidP="00D66515">
      <w:pPr>
        <w:jc w:val="both"/>
      </w:pPr>
    </w:p>
    <w:p w14:paraId="1707A4AB" w14:textId="77777777" w:rsidR="005B74D0" w:rsidRDefault="005B74D0" w:rsidP="00D66515">
      <w:pPr>
        <w:jc w:val="both"/>
      </w:pPr>
    </w:p>
    <w:p w14:paraId="1B44FD07" w14:textId="77777777" w:rsidR="005B74D0" w:rsidRDefault="005B74D0" w:rsidP="00D66515">
      <w:pPr>
        <w:jc w:val="both"/>
      </w:pPr>
    </w:p>
    <w:p w14:paraId="40ABC544" w14:textId="77777777" w:rsidR="005B74D0" w:rsidRDefault="005B74D0" w:rsidP="00D66515">
      <w:pPr>
        <w:jc w:val="both"/>
      </w:pPr>
    </w:p>
    <w:p w14:paraId="3712305E" w14:textId="77777777" w:rsidR="005B74D0" w:rsidRDefault="005B74D0">
      <w:pPr>
        <w:sectPr w:rsidR="005B74D0" w:rsidSect="00D97364">
          <w:type w:val="continuous"/>
          <w:pgSz w:w="11906" w:h="16838"/>
          <w:pgMar w:top="1440" w:right="1440" w:bottom="1440" w:left="1440" w:header="708" w:footer="708" w:gutter="0"/>
          <w:pgNumType w:fmt="numberInDash"/>
          <w:cols w:num="2" w:space="708"/>
          <w:titlePg/>
          <w:docGrid w:linePitch="360"/>
        </w:sectPr>
      </w:pPr>
    </w:p>
    <w:p w14:paraId="377241E0" w14:textId="719ACA52" w:rsidR="00D92A31" w:rsidRDefault="00D92A31" w:rsidP="00344B71"/>
    <w:sectPr w:rsidR="00D92A31" w:rsidSect="005B74D0">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0854F8" w14:textId="77777777" w:rsidR="009257EE" w:rsidRDefault="009257EE" w:rsidP="00997E67">
      <w:r>
        <w:separator/>
      </w:r>
    </w:p>
  </w:endnote>
  <w:endnote w:type="continuationSeparator" w:id="0">
    <w:p w14:paraId="5ED56D1F" w14:textId="77777777" w:rsidR="009257EE" w:rsidRDefault="009257EE" w:rsidP="00997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ebuchet MS">
    <w:altName w:val="﷽﷽﷽﷽﷽﷽﷽﷽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6196818"/>
      <w:docPartObj>
        <w:docPartGallery w:val="Page Numbers (Bottom of Page)"/>
        <w:docPartUnique/>
      </w:docPartObj>
    </w:sdtPr>
    <w:sdtEndPr>
      <w:rPr>
        <w:rFonts w:ascii="Arial" w:hAnsi="Arial" w:cs="Arial"/>
        <w:noProof/>
        <w:sz w:val="20"/>
        <w:szCs w:val="20"/>
      </w:rPr>
    </w:sdtEndPr>
    <w:sdtContent>
      <w:p w14:paraId="6E9F292B" w14:textId="12C2B169" w:rsidR="00D97364" w:rsidRPr="00D97364" w:rsidRDefault="00D97364">
        <w:pPr>
          <w:pStyle w:val="Footer"/>
          <w:jc w:val="center"/>
          <w:rPr>
            <w:rFonts w:ascii="Arial" w:hAnsi="Arial" w:cs="Arial"/>
            <w:sz w:val="20"/>
            <w:szCs w:val="20"/>
          </w:rPr>
        </w:pPr>
        <w:r w:rsidRPr="00D97364">
          <w:rPr>
            <w:rFonts w:ascii="Arial" w:hAnsi="Arial" w:cs="Arial"/>
            <w:sz w:val="20"/>
            <w:szCs w:val="20"/>
          </w:rPr>
          <w:fldChar w:fldCharType="begin"/>
        </w:r>
        <w:r w:rsidRPr="00D97364">
          <w:rPr>
            <w:rFonts w:ascii="Arial" w:hAnsi="Arial" w:cs="Arial"/>
            <w:sz w:val="20"/>
            <w:szCs w:val="20"/>
          </w:rPr>
          <w:instrText xml:space="preserve"> PAGE   \* MERGEFORMAT </w:instrText>
        </w:r>
        <w:r w:rsidRPr="00D97364">
          <w:rPr>
            <w:rFonts w:ascii="Arial" w:hAnsi="Arial" w:cs="Arial"/>
            <w:sz w:val="20"/>
            <w:szCs w:val="20"/>
          </w:rPr>
          <w:fldChar w:fldCharType="separate"/>
        </w:r>
        <w:r w:rsidR="00684DC9">
          <w:rPr>
            <w:rFonts w:ascii="Arial" w:hAnsi="Arial" w:cs="Arial"/>
            <w:noProof/>
            <w:sz w:val="20"/>
            <w:szCs w:val="20"/>
          </w:rPr>
          <w:t>- 8 -</w:t>
        </w:r>
        <w:r w:rsidRPr="00D97364">
          <w:rPr>
            <w:rFonts w:ascii="Arial" w:hAnsi="Arial" w:cs="Arial"/>
            <w:noProof/>
            <w:sz w:val="20"/>
            <w:szCs w:val="20"/>
          </w:rPr>
          <w:fldChar w:fldCharType="end"/>
        </w:r>
      </w:p>
    </w:sdtContent>
  </w:sdt>
  <w:p w14:paraId="4AAE2874" w14:textId="77777777" w:rsidR="00D97364" w:rsidRDefault="00D973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890458515"/>
      <w:docPartObj>
        <w:docPartGallery w:val="Page Numbers (Bottom of Page)"/>
        <w:docPartUnique/>
      </w:docPartObj>
    </w:sdtPr>
    <w:sdtEndPr>
      <w:rPr>
        <w:noProof/>
      </w:rPr>
    </w:sdtEndPr>
    <w:sdtContent>
      <w:p w14:paraId="40DF048F" w14:textId="67D1BCF7" w:rsidR="002867B4" w:rsidRPr="002867B4" w:rsidRDefault="002867B4">
        <w:pPr>
          <w:pStyle w:val="Footer"/>
          <w:jc w:val="center"/>
          <w:rPr>
            <w:sz w:val="20"/>
            <w:szCs w:val="20"/>
          </w:rPr>
        </w:pPr>
        <w:r w:rsidRPr="002867B4">
          <w:rPr>
            <w:sz w:val="20"/>
            <w:szCs w:val="20"/>
          </w:rPr>
          <w:fldChar w:fldCharType="begin"/>
        </w:r>
        <w:r w:rsidRPr="00D97364">
          <w:rPr>
            <w:sz w:val="20"/>
            <w:szCs w:val="20"/>
          </w:rPr>
          <w:instrText xml:space="preserve"> PAGE   \* MERGEFORMAT </w:instrText>
        </w:r>
        <w:r w:rsidRPr="002867B4">
          <w:rPr>
            <w:sz w:val="20"/>
            <w:szCs w:val="20"/>
          </w:rPr>
          <w:fldChar w:fldCharType="separate"/>
        </w:r>
        <w:r w:rsidR="00684DC9">
          <w:rPr>
            <w:noProof/>
            <w:sz w:val="20"/>
            <w:szCs w:val="20"/>
          </w:rPr>
          <w:t>- 1 -</w:t>
        </w:r>
        <w:r w:rsidRPr="002867B4">
          <w:rPr>
            <w:noProof/>
            <w:sz w:val="20"/>
            <w:szCs w:val="20"/>
          </w:rPr>
          <w:fldChar w:fldCharType="end"/>
        </w:r>
      </w:p>
    </w:sdtContent>
  </w:sdt>
  <w:p w14:paraId="664BF69F" w14:textId="77777777" w:rsidR="002867B4" w:rsidRDefault="00286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248B07" w14:textId="77777777" w:rsidR="009257EE" w:rsidRDefault="009257EE" w:rsidP="00997E67">
      <w:r>
        <w:separator/>
      </w:r>
    </w:p>
  </w:footnote>
  <w:footnote w:type="continuationSeparator" w:id="0">
    <w:p w14:paraId="41527AB2" w14:textId="77777777" w:rsidR="009257EE" w:rsidRDefault="009257EE" w:rsidP="00997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F21F5" w14:textId="77777777" w:rsidR="00C76EC7" w:rsidRDefault="00C76EC7" w:rsidP="00997E67">
    <w:pPr>
      <w:pStyle w:val="Heading2"/>
      <w:spacing w:before="0" w:line="276" w:lineRule="auto"/>
      <w:ind w:left="3544"/>
      <w:rPr>
        <w:rFonts w:ascii="Verdana" w:hAnsi="Verdana"/>
        <w:b w:val="0"/>
        <w:bCs w:val="0"/>
        <w:i w:val="0"/>
        <w:iCs w:val="0"/>
        <w:sz w:val="16"/>
        <w:szCs w:val="16"/>
      </w:rPr>
    </w:pPr>
  </w:p>
  <w:p w14:paraId="3FD69303" w14:textId="77777777" w:rsidR="00C76EC7" w:rsidRDefault="00C76EC7" w:rsidP="00997E67">
    <w:pPr>
      <w:pStyle w:val="Heading2"/>
      <w:spacing w:before="0" w:line="276" w:lineRule="auto"/>
      <w:ind w:left="3544"/>
      <w:rPr>
        <w:rFonts w:ascii="Verdana" w:hAnsi="Verdana"/>
        <w:b w:val="0"/>
        <w:bCs w:val="0"/>
        <w:i w:val="0"/>
        <w:iCs w:val="0"/>
        <w:sz w:val="16"/>
        <w:szCs w:val="16"/>
      </w:rPr>
    </w:pPr>
  </w:p>
  <w:p w14:paraId="25D2C038" w14:textId="302D5BA7" w:rsidR="00997E67" w:rsidRPr="00C76EC7" w:rsidRDefault="00997E67" w:rsidP="00C76EC7">
    <w:pPr>
      <w:pStyle w:val="Heading2"/>
      <w:spacing w:before="0"/>
      <w:ind w:left="3544"/>
      <w:rPr>
        <w:rFonts w:asciiTheme="minorBidi" w:hAnsiTheme="minorBidi" w:cstheme="minorBidi"/>
        <w:b w:val="0"/>
        <w:bCs w:val="0"/>
        <w:i w:val="0"/>
        <w:iCs w:val="0"/>
        <w:color w:val="006666"/>
        <w:sz w:val="16"/>
        <w:szCs w:val="16"/>
      </w:rPr>
    </w:pPr>
    <w:r w:rsidRPr="00C76EC7">
      <w:rPr>
        <w:rFonts w:asciiTheme="minorBidi" w:hAnsiTheme="minorBidi" w:cstheme="minorBidi"/>
        <w:b w:val="0"/>
        <w:bCs w:val="0"/>
        <w:noProof/>
        <w:color w:val="006666"/>
        <w:sz w:val="20"/>
        <w:szCs w:val="20"/>
        <w:lang w:eastAsia="en-IE"/>
      </w:rPr>
      <w:drawing>
        <wp:anchor distT="0" distB="0" distL="114300" distR="114300" simplePos="0" relativeHeight="251657728" behindDoc="0" locked="0" layoutInCell="1" allowOverlap="1" wp14:anchorId="5438C33A" wp14:editId="20A66C07">
          <wp:simplePos x="0" y="0"/>
          <wp:positionH relativeFrom="column">
            <wp:posOffset>63500</wp:posOffset>
          </wp:positionH>
          <wp:positionV relativeFrom="paragraph">
            <wp:posOffset>1270</wp:posOffset>
          </wp:positionV>
          <wp:extent cx="2000250" cy="4375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CD8">
      <w:rPr>
        <w:rFonts w:asciiTheme="minorBidi" w:hAnsiTheme="minorBidi" w:cstheme="minorBidi"/>
        <w:b w:val="0"/>
        <w:bCs w:val="0"/>
        <w:i w:val="0"/>
        <w:iCs w:val="0"/>
        <w:color w:val="006666"/>
        <w:sz w:val="16"/>
        <w:szCs w:val="16"/>
      </w:rPr>
      <w:t>4</w:t>
    </w:r>
    <w:r w:rsidR="00252CD8">
      <w:rPr>
        <w:rFonts w:asciiTheme="minorBidi" w:hAnsiTheme="minorBidi" w:cstheme="minorBidi"/>
        <w:b w:val="0"/>
        <w:bCs w:val="0"/>
        <w:i w:val="0"/>
        <w:iCs w:val="0"/>
        <w:color w:val="006666"/>
        <w:sz w:val="16"/>
        <w:szCs w:val="16"/>
        <w:vertAlign w:val="superscript"/>
      </w:rPr>
      <w:t>th</w:t>
    </w:r>
    <w:r w:rsidR="00E96712">
      <w:rPr>
        <w:rFonts w:asciiTheme="minorBidi" w:hAnsiTheme="minorBidi" w:cstheme="minorBidi"/>
        <w:b w:val="0"/>
        <w:bCs w:val="0"/>
        <w:i w:val="0"/>
        <w:iCs w:val="0"/>
        <w:color w:val="006666"/>
        <w:sz w:val="16"/>
        <w:szCs w:val="16"/>
      </w:rPr>
      <w:t xml:space="preserve"> PLATE </w:t>
    </w:r>
    <w:r w:rsidR="00252CD8">
      <w:rPr>
        <w:rFonts w:asciiTheme="minorBidi" w:hAnsiTheme="minorBidi" w:cstheme="minorBidi"/>
        <w:b w:val="0"/>
        <w:bCs w:val="0"/>
        <w:i w:val="0"/>
        <w:iCs w:val="0"/>
        <w:color w:val="006666"/>
        <w:sz w:val="16"/>
        <w:szCs w:val="16"/>
      </w:rPr>
      <w:t>Virtual C</w:t>
    </w:r>
    <w:r w:rsidR="00E96712">
      <w:rPr>
        <w:rFonts w:asciiTheme="minorBidi" w:hAnsiTheme="minorBidi" w:cstheme="minorBidi"/>
        <w:b w:val="0"/>
        <w:bCs w:val="0"/>
        <w:i w:val="0"/>
        <w:iCs w:val="0"/>
        <w:color w:val="006666"/>
        <w:sz w:val="16"/>
        <w:szCs w:val="16"/>
      </w:rPr>
      <w:t xml:space="preserve">onference </w:t>
    </w:r>
    <w:r w:rsidR="00252CD8">
      <w:rPr>
        <w:rFonts w:asciiTheme="minorBidi" w:hAnsiTheme="minorBidi" w:cstheme="minorBidi"/>
        <w:b w:val="0"/>
        <w:bCs w:val="0"/>
        <w:i w:val="0"/>
        <w:iCs w:val="0"/>
        <w:color w:val="006666"/>
        <w:sz w:val="16"/>
        <w:szCs w:val="16"/>
      </w:rPr>
      <w:t>Limerick</w:t>
    </w:r>
    <w:r w:rsidR="00E96712">
      <w:rPr>
        <w:rFonts w:asciiTheme="minorBidi" w:hAnsiTheme="minorBidi" w:cstheme="minorBidi"/>
        <w:b w:val="0"/>
        <w:bCs w:val="0"/>
        <w:i w:val="0"/>
        <w:iCs w:val="0"/>
        <w:color w:val="006666"/>
        <w:sz w:val="16"/>
        <w:szCs w:val="16"/>
      </w:rPr>
      <w:t xml:space="preserve">, </w:t>
    </w:r>
    <w:r w:rsidR="00252CD8">
      <w:rPr>
        <w:rFonts w:asciiTheme="minorBidi" w:hAnsiTheme="minorBidi" w:cstheme="minorBidi"/>
        <w:b w:val="0"/>
        <w:bCs w:val="0"/>
        <w:i w:val="0"/>
        <w:iCs w:val="0"/>
        <w:color w:val="006666"/>
        <w:sz w:val="16"/>
        <w:szCs w:val="16"/>
      </w:rPr>
      <w:t>Ireland</w:t>
    </w:r>
    <w:r w:rsidR="00E96712">
      <w:rPr>
        <w:rFonts w:asciiTheme="minorBidi" w:hAnsiTheme="minorBidi" w:cstheme="minorBidi"/>
        <w:b w:val="0"/>
        <w:bCs w:val="0"/>
        <w:i w:val="0"/>
        <w:iCs w:val="0"/>
        <w:color w:val="006666"/>
        <w:sz w:val="16"/>
        <w:szCs w:val="16"/>
      </w:rPr>
      <w:t xml:space="preserve">, </w:t>
    </w:r>
    <w:r w:rsidR="00252CD8">
      <w:rPr>
        <w:rFonts w:asciiTheme="minorBidi" w:hAnsiTheme="minorBidi" w:cstheme="minorBidi"/>
        <w:b w:val="0"/>
        <w:bCs w:val="0"/>
        <w:i w:val="0"/>
        <w:iCs w:val="0"/>
        <w:color w:val="006666"/>
        <w:sz w:val="16"/>
        <w:szCs w:val="16"/>
      </w:rPr>
      <w:t>26</w:t>
    </w:r>
    <w:r w:rsidR="00E96712">
      <w:rPr>
        <w:rFonts w:asciiTheme="minorBidi" w:hAnsiTheme="minorBidi" w:cstheme="minorBidi"/>
        <w:b w:val="0"/>
        <w:bCs w:val="0"/>
        <w:i w:val="0"/>
        <w:iCs w:val="0"/>
        <w:color w:val="006666"/>
        <w:sz w:val="16"/>
        <w:szCs w:val="16"/>
      </w:rPr>
      <w:t>-2</w:t>
    </w:r>
    <w:r w:rsidR="00252CD8">
      <w:rPr>
        <w:rFonts w:asciiTheme="minorBidi" w:hAnsiTheme="minorBidi" w:cstheme="minorBidi"/>
        <w:b w:val="0"/>
        <w:bCs w:val="0"/>
        <w:i w:val="0"/>
        <w:iCs w:val="0"/>
        <w:color w:val="006666"/>
        <w:sz w:val="16"/>
        <w:szCs w:val="16"/>
      </w:rPr>
      <w:t>8</w:t>
    </w:r>
    <w:r w:rsidR="00E96712">
      <w:rPr>
        <w:rFonts w:asciiTheme="minorBidi" w:hAnsiTheme="minorBidi" w:cstheme="minorBidi"/>
        <w:b w:val="0"/>
        <w:bCs w:val="0"/>
        <w:i w:val="0"/>
        <w:iCs w:val="0"/>
        <w:color w:val="006666"/>
        <w:sz w:val="16"/>
        <w:szCs w:val="16"/>
      </w:rPr>
      <w:t xml:space="preserve"> </w:t>
    </w:r>
    <w:r w:rsidR="00252CD8">
      <w:rPr>
        <w:rFonts w:asciiTheme="minorBidi" w:hAnsiTheme="minorBidi" w:cstheme="minorBidi"/>
        <w:b w:val="0"/>
        <w:bCs w:val="0"/>
        <w:i w:val="0"/>
        <w:iCs w:val="0"/>
        <w:color w:val="006666"/>
        <w:sz w:val="16"/>
        <w:szCs w:val="16"/>
      </w:rPr>
      <w:t>May</w:t>
    </w:r>
    <w:r w:rsidR="00E96712">
      <w:rPr>
        <w:rFonts w:asciiTheme="minorBidi" w:hAnsiTheme="minorBidi" w:cstheme="minorBidi"/>
        <w:b w:val="0"/>
        <w:bCs w:val="0"/>
        <w:i w:val="0"/>
        <w:iCs w:val="0"/>
        <w:color w:val="006666"/>
        <w:sz w:val="16"/>
        <w:szCs w:val="16"/>
      </w:rPr>
      <w:t xml:space="preserve"> 20</w:t>
    </w:r>
    <w:r w:rsidR="00252CD8">
      <w:rPr>
        <w:rFonts w:asciiTheme="minorBidi" w:hAnsiTheme="minorBidi" w:cstheme="minorBidi"/>
        <w:b w:val="0"/>
        <w:bCs w:val="0"/>
        <w:i w:val="0"/>
        <w:iCs w:val="0"/>
        <w:color w:val="006666"/>
        <w:sz w:val="16"/>
        <w:szCs w:val="16"/>
      </w:rPr>
      <w:t>21</w:t>
    </w:r>
  </w:p>
  <w:p w14:paraId="2124EDED" w14:textId="2AB21E6B" w:rsidR="00997E67" w:rsidRPr="00DC069A" w:rsidRDefault="00332E8A" w:rsidP="00C76EC7">
    <w:pPr>
      <w:pStyle w:val="Heading2"/>
      <w:spacing w:before="0" w:after="0"/>
      <w:ind w:left="3544"/>
      <w:rPr>
        <w:rFonts w:asciiTheme="minorBidi" w:hAnsiTheme="minorBidi" w:cstheme="minorBidi"/>
        <w:b w:val="0"/>
        <w:bCs w:val="0"/>
        <w:i w:val="0"/>
        <w:iCs w:val="0"/>
        <w:sz w:val="16"/>
        <w:szCs w:val="16"/>
        <w:lang w:val="de-DE"/>
      </w:rPr>
    </w:pPr>
    <w:r>
      <w:rPr>
        <w:rFonts w:asciiTheme="minorBidi" w:hAnsiTheme="minorBidi" w:cstheme="minorBidi"/>
        <w:i w:val="0"/>
        <w:iCs w:val="0"/>
        <w:sz w:val="16"/>
        <w:szCs w:val="16"/>
        <w:lang w:val="de-DE"/>
      </w:rPr>
      <w:t xml:space="preserve">Tobin, K., Gibson, C., Downey, C., Miller, S. </w:t>
    </w:r>
    <w:r w:rsidR="003B7943">
      <w:rPr>
        <w:rFonts w:asciiTheme="minorBidi" w:hAnsiTheme="minorBidi" w:cstheme="minorBidi"/>
        <w:i w:val="0"/>
        <w:iCs w:val="0"/>
        <w:sz w:val="16"/>
        <w:szCs w:val="16"/>
        <w:lang w:val="de-DE"/>
      </w:rPr>
      <w:t>&amp;</w:t>
    </w:r>
    <w:r>
      <w:rPr>
        <w:rFonts w:asciiTheme="minorBidi" w:hAnsiTheme="minorBidi" w:cstheme="minorBidi"/>
        <w:i w:val="0"/>
        <w:iCs w:val="0"/>
        <w:sz w:val="16"/>
        <w:szCs w:val="16"/>
        <w:lang w:val="de-DE"/>
      </w:rPr>
      <w:t xml:space="preserve"> Coakley, T.</w:t>
    </w:r>
    <w:r w:rsidR="00DC069A" w:rsidRPr="00DC069A">
      <w:rPr>
        <w:rFonts w:asciiTheme="minorBidi" w:hAnsiTheme="minorBidi" w:cstheme="minorBidi"/>
        <w:i w:val="0"/>
        <w:iCs w:val="0"/>
        <w:sz w:val="16"/>
        <w:szCs w:val="16"/>
        <w:lang w:val="de-DE"/>
      </w:rPr>
      <w:t xml:space="preserve"> </w:t>
    </w:r>
  </w:p>
  <w:p w14:paraId="67137CB2" w14:textId="0BA7A741" w:rsidR="003D54C1" w:rsidRPr="00D97364" w:rsidRDefault="003D54C1" w:rsidP="003D54C1">
    <w:pPr>
      <w:pStyle w:val="PLATE-PaperTitle"/>
      <w:rPr>
        <w:sz w:val="20"/>
        <w:szCs w:val="20"/>
      </w:rPr>
    </w:pPr>
    <w:r w:rsidRPr="003D54C1">
      <w:rPr>
        <w:rFonts w:asciiTheme="minorBidi" w:hAnsiTheme="minorBidi" w:cstheme="minorBidi"/>
        <w:b w:val="0"/>
        <w:bCs w:val="0"/>
        <w:sz w:val="16"/>
        <w:szCs w:val="16"/>
      </w:rPr>
      <w:t>Qualifying and Quantifying the Reuse sector in Ireland - Plate Conference Proceedings Template 2021</w:t>
    </w:r>
  </w:p>
  <w:p w14:paraId="20C85ED0" w14:textId="71A3A3F5" w:rsidR="00997E67" w:rsidRPr="00C76EC7" w:rsidRDefault="00997E67" w:rsidP="00D97364">
    <w:pPr>
      <w:pStyle w:val="Heading2"/>
      <w:spacing w:before="0"/>
      <w:ind w:left="3544"/>
      <w:rPr>
        <w:rFonts w:asciiTheme="minorBidi" w:hAnsiTheme="minorBidi" w:cstheme="minorBidi"/>
        <w:b w:val="0"/>
        <w:bCs w:val="0"/>
        <w:i w:val="0"/>
        <w:iCs w:val="0"/>
        <w:sz w:val="16"/>
        <w:szCs w:val="16"/>
      </w:rPr>
    </w:pPr>
  </w:p>
  <w:p w14:paraId="41EA1081" w14:textId="77777777" w:rsidR="00997E67" w:rsidRDefault="00997E67" w:rsidP="00C76EC7">
    <w:pPr>
      <w:pStyle w:val="Header"/>
      <w:ind w:left="269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62CFF" w14:textId="7B849C11" w:rsidR="00C76EC7" w:rsidRDefault="00C76EC7" w:rsidP="003C23F1">
    <w:pPr>
      <w:pStyle w:val="Heading2"/>
      <w:tabs>
        <w:tab w:val="left" w:pos="2268"/>
      </w:tabs>
      <w:spacing w:before="0" w:line="276" w:lineRule="auto"/>
      <w:ind w:right="6332"/>
      <w:rPr>
        <w:rFonts w:ascii="Verdana" w:hAnsi="Verdana"/>
        <w:b w:val="0"/>
        <w:bCs w:val="0"/>
        <w:i w:val="0"/>
        <w:iCs w:val="0"/>
        <w:sz w:val="16"/>
        <w:szCs w:val="16"/>
      </w:rPr>
    </w:pPr>
  </w:p>
  <w:p w14:paraId="190CDA0D" w14:textId="29643A8E" w:rsidR="00E96712" w:rsidRPr="00E96712" w:rsidRDefault="00E96712" w:rsidP="00E96712">
    <w:pPr>
      <w:pStyle w:val="Heading2"/>
      <w:tabs>
        <w:tab w:val="left" w:pos="5387"/>
      </w:tabs>
      <w:ind w:right="5482"/>
      <w:jc w:val="right"/>
      <w:rPr>
        <w:rFonts w:asciiTheme="minorBidi" w:hAnsiTheme="minorBidi" w:cstheme="minorBidi"/>
        <w:b w:val="0"/>
        <w:bCs w:val="0"/>
        <w:i w:val="0"/>
        <w:iCs w:val="0"/>
        <w:color w:val="006666"/>
        <w:sz w:val="20"/>
        <w:szCs w:val="20"/>
      </w:rPr>
    </w:pPr>
    <w:r w:rsidRPr="005B74D0">
      <w:rPr>
        <w:rFonts w:asciiTheme="minorBidi" w:hAnsiTheme="minorBidi" w:cstheme="minorBidi"/>
        <w:b w:val="0"/>
        <w:bCs w:val="0"/>
        <w:noProof/>
        <w:color w:val="006666"/>
        <w:sz w:val="21"/>
        <w:szCs w:val="21"/>
        <w:lang w:eastAsia="en-IE"/>
      </w:rPr>
      <w:drawing>
        <wp:anchor distT="0" distB="0" distL="114300" distR="114300" simplePos="0" relativeHeight="251658752" behindDoc="0" locked="0" layoutInCell="1" allowOverlap="1" wp14:anchorId="2B8B07DC" wp14:editId="08A38A5C">
          <wp:simplePos x="0" y="0"/>
          <wp:positionH relativeFrom="column">
            <wp:posOffset>2921000</wp:posOffset>
          </wp:positionH>
          <wp:positionV relativeFrom="paragraph">
            <wp:posOffset>88900</wp:posOffset>
          </wp:positionV>
          <wp:extent cx="2675890" cy="5842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589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5E949" w14:textId="1D2A4765" w:rsidR="00E96712" w:rsidRPr="00E96712" w:rsidRDefault="00252CD8" w:rsidP="00E96712">
    <w:pPr>
      <w:pStyle w:val="Heading2"/>
      <w:tabs>
        <w:tab w:val="left" w:pos="5387"/>
      </w:tabs>
      <w:ind w:right="5482"/>
      <w:jc w:val="right"/>
      <w:rPr>
        <w:rFonts w:asciiTheme="minorBidi" w:hAnsiTheme="minorBidi" w:cstheme="minorBidi"/>
        <w:b w:val="0"/>
        <w:bCs w:val="0"/>
        <w:i w:val="0"/>
        <w:iCs w:val="0"/>
        <w:color w:val="006666"/>
        <w:sz w:val="20"/>
        <w:szCs w:val="20"/>
      </w:rPr>
    </w:pPr>
    <w:r>
      <w:rPr>
        <w:rFonts w:asciiTheme="minorBidi" w:hAnsiTheme="minorBidi" w:cstheme="minorBidi"/>
        <w:b w:val="0"/>
        <w:bCs w:val="0"/>
        <w:i w:val="0"/>
        <w:iCs w:val="0"/>
        <w:color w:val="006666"/>
        <w:sz w:val="20"/>
        <w:szCs w:val="20"/>
      </w:rPr>
      <w:t>4</w:t>
    </w:r>
    <w:r>
      <w:rPr>
        <w:rFonts w:asciiTheme="minorBidi" w:hAnsiTheme="minorBidi" w:cstheme="minorBidi"/>
        <w:b w:val="0"/>
        <w:bCs w:val="0"/>
        <w:i w:val="0"/>
        <w:iCs w:val="0"/>
        <w:color w:val="006666"/>
        <w:sz w:val="20"/>
        <w:szCs w:val="20"/>
        <w:vertAlign w:val="superscript"/>
      </w:rPr>
      <w:t>th</w:t>
    </w:r>
    <w:r w:rsidR="00E96712">
      <w:rPr>
        <w:rFonts w:asciiTheme="minorBidi" w:hAnsiTheme="minorBidi" w:cstheme="minorBidi"/>
        <w:b w:val="0"/>
        <w:bCs w:val="0"/>
        <w:i w:val="0"/>
        <w:iCs w:val="0"/>
        <w:color w:val="006666"/>
        <w:sz w:val="20"/>
        <w:szCs w:val="20"/>
      </w:rPr>
      <w:t xml:space="preserve"> </w:t>
    </w:r>
    <w:r w:rsidR="00E96712" w:rsidRPr="00E96712">
      <w:rPr>
        <w:rFonts w:asciiTheme="minorBidi" w:hAnsiTheme="minorBidi" w:cstheme="minorBidi"/>
        <w:b w:val="0"/>
        <w:bCs w:val="0"/>
        <w:i w:val="0"/>
        <w:iCs w:val="0"/>
        <w:color w:val="006666"/>
        <w:sz w:val="20"/>
        <w:szCs w:val="20"/>
      </w:rPr>
      <w:t>PLATE 20</w:t>
    </w:r>
    <w:r>
      <w:rPr>
        <w:rFonts w:asciiTheme="minorBidi" w:hAnsiTheme="minorBidi" w:cstheme="minorBidi"/>
        <w:b w:val="0"/>
        <w:bCs w:val="0"/>
        <w:i w:val="0"/>
        <w:iCs w:val="0"/>
        <w:color w:val="006666"/>
        <w:sz w:val="20"/>
        <w:szCs w:val="20"/>
      </w:rPr>
      <w:t>21 Virtual</w:t>
    </w:r>
    <w:r w:rsidR="00E96712" w:rsidRPr="00E96712">
      <w:rPr>
        <w:rFonts w:asciiTheme="minorBidi" w:hAnsiTheme="minorBidi" w:cstheme="minorBidi"/>
        <w:b w:val="0"/>
        <w:bCs w:val="0"/>
        <w:i w:val="0"/>
        <w:iCs w:val="0"/>
        <w:color w:val="006666"/>
        <w:sz w:val="20"/>
        <w:szCs w:val="20"/>
      </w:rPr>
      <w:t xml:space="preserve"> Conference</w:t>
    </w:r>
  </w:p>
  <w:p w14:paraId="7A9FF3F2" w14:textId="731D49C2" w:rsidR="00C76EC7" w:rsidRPr="005B74D0" w:rsidRDefault="00252CD8" w:rsidP="00E96712">
    <w:pPr>
      <w:pStyle w:val="Heading2"/>
      <w:tabs>
        <w:tab w:val="left" w:pos="5387"/>
      </w:tabs>
      <w:spacing w:before="0"/>
      <w:ind w:right="5482"/>
      <w:jc w:val="right"/>
      <w:rPr>
        <w:rFonts w:asciiTheme="minorBidi" w:hAnsiTheme="minorBidi" w:cstheme="minorBidi"/>
        <w:b w:val="0"/>
        <w:bCs w:val="0"/>
        <w:i w:val="0"/>
        <w:iCs w:val="0"/>
        <w:color w:val="006666"/>
        <w:sz w:val="20"/>
        <w:szCs w:val="20"/>
      </w:rPr>
    </w:pPr>
    <w:r>
      <w:rPr>
        <w:rFonts w:asciiTheme="minorBidi" w:hAnsiTheme="minorBidi" w:cstheme="minorBidi"/>
        <w:b w:val="0"/>
        <w:bCs w:val="0"/>
        <w:i w:val="0"/>
        <w:iCs w:val="0"/>
        <w:color w:val="006666"/>
        <w:sz w:val="20"/>
        <w:szCs w:val="20"/>
      </w:rPr>
      <w:t>Limerick</w:t>
    </w:r>
    <w:r w:rsidR="00E96712">
      <w:rPr>
        <w:rFonts w:asciiTheme="minorBidi" w:hAnsiTheme="minorBidi" w:cstheme="minorBidi"/>
        <w:b w:val="0"/>
        <w:bCs w:val="0"/>
        <w:i w:val="0"/>
        <w:iCs w:val="0"/>
        <w:color w:val="006666"/>
        <w:sz w:val="20"/>
        <w:szCs w:val="20"/>
      </w:rPr>
      <w:t xml:space="preserve">, </w:t>
    </w:r>
    <w:r>
      <w:rPr>
        <w:rFonts w:asciiTheme="minorBidi" w:hAnsiTheme="minorBidi" w:cstheme="minorBidi"/>
        <w:b w:val="0"/>
        <w:bCs w:val="0"/>
        <w:i w:val="0"/>
        <w:iCs w:val="0"/>
        <w:color w:val="006666"/>
        <w:sz w:val="20"/>
        <w:szCs w:val="20"/>
      </w:rPr>
      <w:t>Ireland</w:t>
    </w:r>
    <w:r w:rsidR="00E96712">
      <w:rPr>
        <w:rFonts w:asciiTheme="minorBidi" w:hAnsiTheme="minorBidi" w:cstheme="minorBidi"/>
        <w:b w:val="0"/>
        <w:bCs w:val="0"/>
        <w:i w:val="0"/>
        <w:iCs w:val="0"/>
        <w:color w:val="006666"/>
        <w:sz w:val="20"/>
        <w:szCs w:val="20"/>
      </w:rPr>
      <w:t xml:space="preserve"> - </w:t>
    </w:r>
    <w:r>
      <w:rPr>
        <w:rFonts w:asciiTheme="minorBidi" w:hAnsiTheme="minorBidi" w:cstheme="minorBidi"/>
        <w:b w:val="0"/>
        <w:bCs w:val="0"/>
        <w:i w:val="0"/>
        <w:iCs w:val="0"/>
        <w:color w:val="006666"/>
        <w:sz w:val="20"/>
        <w:szCs w:val="20"/>
      </w:rPr>
      <w:t>26</w:t>
    </w:r>
    <w:r w:rsidR="00E96712">
      <w:rPr>
        <w:rFonts w:asciiTheme="minorBidi" w:hAnsiTheme="minorBidi" w:cstheme="minorBidi"/>
        <w:b w:val="0"/>
        <w:bCs w:val="0"/>
        <w:i w:val="0"/>
        <w:iCs w:val="0"/>
        <w:color w:val="006666"/>
        <w:sz w:val="20"/>
        <w:szCs w:val="20"/>
      </w:rPr>
      <w:t>-2</w:t>
    </w:r>
    <w:r>
      <w:rPr>
        <w:rFonts w:asciiTheme="minorBidi" w:hAnsiTheme="minorBidi" w:cstheme="minorBidi"/>
        <w:b w:val="0"/>
        <w:bCs w:val="0"/>
        <w:i w:val="0"/>
        <w:iCs w:val="0"/>
        <w:color w:val="006666"/>
        <w:sz w:val="20"/>
        <w:szCs w:val="20"/>
      </w:rPr>
      <w:t>8</w:t>
    </w:r>
    <w:r w:rsidR="00E96712">
      <w:rPr>
        <w:rFonts w:asciiTheme="minorBidi" w:hAnsiTheme="minorBidi" w:cstheme="minorBidi"/>
        <w:b w:val="0"/>
        <w:bCs w:val="0"/>
        <w:i w:val="0"/>
        <w:iCs w:val="0"/>
        <w:color w:val="006666"/>
        <w:sz w:val="20"/>
        <w:szCs w:val="20"/>
      </w:rPr>
      <w:t xml:space="preserve"> </w:t>
    </w:r>
    <w:r>
      <w:rPr>
        <w:rFonts w:asciiTheme="minorBidi" w:hAnsiTheme="minorBidi" w:cstheme="minorBidi"/>
        <w:b w:val="0"/>
        <w:bCs w:val="0"/>
        <w:i w:val="0"/>
        <w:iCs w:val="0"/>
        <w:color w:val="006666"/>
        <w:sz w:val="20"/>
        <w:szCs w:val="20"/>
      </w:rPr>
      <w:t>May</w:t>
    </w:r>
    <w:r w:rsidR="00E96712">
      <w:rPr>
        <w:rFonts w:asciiTheme="minorBidi" w:hAnsiTheme="minorBidi" w:cstheme="minorBidi"/>
        <w:b w:val="0"/>
        <w:bCs w:val="0"/>
        <w:i w:val="0"/>
        <w:iCs w:val="0"/>
        <w:color w:val="006666"/>
        <w:sz w:val="20"/>
        <w:szCs w:val="20"/>
      </w:rPr>
      <w:t xml:space="preserve"> 20</w:t>
    </w:r>
    <w:r>
      <w:rPr>
        <w:rFonts w:asciiTheme="minorBidi" w:hAnsiTheme="minorBidi" w:cstheme="minorBidi"/>
        <w:b w:val="0"/>
        <w:bCs w:val="0"/>
        <w:i w:val="0"/>
        <w:iCs w:val="0"/>
        <w:color w:val="006666"/>
        <w:sz w:val="20"/>
        <w:szCs w:val="20"/>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77D37"/>
    <w:multiLevelType w:val="hybridMultilevel"/>
    <w:tmpl w:val="1B2CC526"/>
    <w:lvl w:ilvl="0" w:tplc="60C601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514164"/>
    <w:multiLevelType w:val="hybridMultilevel"/>
    <w:tmpl w:val="DB7E2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160632"/>
    <w:multiLevelType w:val="hybridMultilevel"/>
    <w:tmpl w:val="49D845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E5248FC"/>
    <w:multiLevelType w:val="hybridMultilevel"/>
    <w:tmpl w:val="71F2DC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1B3593"/>
    <w:multiLevelType w:val="hybridMultilevel"/>
    <w:tmpl w:val="211EBD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25C0F37"/>
    <w:multiLevelType w:val="hybridMultilevel"/>
    <w:tmpl w:val="A6C0B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7C4"/>
    <w:rsid w:val="00004E84"/>
    <w:rsid w:val="00025D53"/>
    <w:rsid w:val="00056932"/>
    <w:rsid w:val="000631F7"/>
    <w:rsid w:val="000A3F99"/>
    <w:rsid w:val="000B61AC"/>
    <w:rsid w:val="000B7EA8"/>
    <w:rsid w:val="000C1770"/>
    <w:rsid w:val="000C236D"/>
    <w:rsid w:val="000C332D"/>
    <w:rsid w:val="000C49F9"/>
    <w:rsid w:val="000D2007"/>
    <w:rsid w:val="00101077"/>
    <w:rsid w:val="00103687"/>
    <w:rsid w:val="00107894"/>
    <w:rsid w:val="001173DA"/>
    <w:rsid w:val="00117853"/>
    <w:rsid w:val="00120A53"/>
    <w:rsid w:val="00133D3E"/>
    <w:rsid w:val="0013569C"/>
    <w:rsid w:val="00140014"/>
    <w:rsid w:val="00156553"/>
    <w:rsid w:val="001668CF"/>
    <w:rsid w:val="001728A9"/>
    <w:rsid w:val="001810C5"/>
    <w:rsid w:val="00184816"/>
    <w:rsid w:val="001868F1"/>
    <w:rsid w:val="00194EDD"/>
    <w:rsid w:val="001A3693"/>
    <w:rsid w:val="001A763E"/>
    <w:rsid w:val="001A7653"/>
    <w:rsid w:val="001C1752"/>
    <w:rsid w:val="001D37FE"/>
    <w:rsid w:val="001D4ED7"/>
    <w:rsid w:val="002001CF"/>
    <w:rsid w:val="00201F3D"/>
    <w:rsid w:val="002040BA"/>
    <w:rsid w:val="002112D4"/>
    <w:rsid w:val="0021287D"/>
    <w:rsid w:val="002360F7"/>
    <w:rsid w:val="002520C3"/>
    <w:rsid w:val="00252CD8"/>
    <w:rsid w:val="00254D1A"/>
    <w:rsid w:val="002867B4"/>
    <w:rsid w:val="002A0D1D"/>
    <w:rsid w:val="002B02FC"/>
    <w:rsid w:val="002B56DC"/>
    <w:rsid w:val="002C1280"/>
    <w:rsid w:val="002D1916"/>
    <w:rsid w:val="002E0741"/>
    <w:rsid w:val="002E3255"/>
    <w:rsid w:val="002F6D0A"/>
    <w:rsid w:val="00307297"/>
    <w:rsid w:val="003076CD"/>
    <w:rsid w:val="00324F76"/>
    <w:rsid w:val="00325778"/>
    <w:rsid w:val="0032618C"/>
    <w:rsid w:val="0032660B"/>
    <w:rsid w:val="00332E8A"/>
    <w:rsid w:val="0034080A"/>
    <w:rsid w:val="003437F9"/>
    <w:rsid w:val="00344B71"/>
    <w:rsid w:val="00345965"/>
    <w:rsid w:val="00351440"/>
    <w:rsid w:val="0035235D"/>
    <w:rsid w:val="003718BA"/>
    <w:rsid w:val="00372021"/>
    <w:rsid w:val="00375D73"/>
    <w:rsid w:val="00381E9F"/>
    <w:rsid w:val="00383D6D"/>
    <w:rsid w:val="003926D9"/>
    <w:rsid w:val="003B600B"/>
    <w:rsid w:val="003B7943"/>
    <w:rsid w:val="003C23F1"/>
    <w:rsid w:val="003C53DE"/>
    <w:rsid w:val="003D3B5E"/>
    <w:rsid w:val="003D54C1"/>
    <w:rsid w:val="003D7F15"/>
    <w:rsid w:val="003E786A"/>
    <w:rsid w:val="004053E7"/>
    <w:rsid w:val="0040620E"/>
    <w:rsid w:val="004108AA"/>
    <w:rsid w:val="00415592"/>
    <w:rsid w:val="00423202"/>
    <w:rsid w:val="0042766B"/>
    <w:rsid w:val="004561D3"/>
    <w:rsid w:val="00470C69"/>
    <w:rsid w:val="00484B48"/>
    <w:rsid w:val="00487082"/>
    <w:rsid w:val="00487307"/>
    <w:rsid w:val="00491944"/>
    <w:rsid w:val="004A0C39"/>
    <w:rsid w:val="004A17DC"/>
    <w:rsid w:val="004A38B4"/>
    <w:rsid w:val="004A3BE1"/>
    <w:rsid w:val="004B3080"/>
    <w:rsid w:val="004E03D7"/>
    <w:rsid w:val="004F3E21"/>
    <w:rsid w:val="00501122"/>
    <w:rsid w:val="00502983"/>
    <w:rsid w:val="00513183"/>
    <w:rsid w:val="005203DF"/>
    <w:rsid w:val="00520564"/>
    <w:rsid w:val="0052085D"/>
    <w:rsid w:val="00520E50"/>
    <w:rsid w:val="00560A97"/>
    <w:rsid w:val="00560C3A"/>
    <w:rsid w:val="00563E40"/>
    <w:rsid w:val="00565361"/>
    <w:rsid w:val="00574556"/>
    <w:rsid w:val="00574795"/>
    <w:rsid w:val="00574CE2"/>
    <w:rsid w:val="00581823"/>
    <w:rsid w:val="0058646D"/>
    <w:rsid w:val="00592EAC"/>
    <w:rsid w:val="00593606"/>
    <w:rsid w:val="005943E7"/>
    <w:rsid w:val="00594F43"/>
    <w:rsid w:val="005B74D0"/>
    <w:rsid w:val="005E0538"/>
    <w:rsid w:val="005E2FD0"/>
    <w:rsid w:val="005E3A94"/>
    <w:rsid w:val="005E7646"/>
    <w:rsid w:val="005F4004"/>
    <w:rsid w:val="005F61FB"/>
    <w:rsid w:val="00601374"/>
    <w:rsid w:val="006177B6"/>
    <w:rsid w:val="00617C76"/>
    <w:rsid w:val="00626BB7"/>
    <w:rsid w:val="006273FC"/>
    <w:rsid w:val="00632A42"/>
    <w:rsid w:val="006336F9"/>
    <w:rsid w:val="0063414D"/>
    <w:rsid w:val="006412E7"/>
    <w:rsid w:val="00676412"/>
    <w:rsid w:val="00684DC9"/>
    <w:rsid w:val="00690A5D"/>
    <w:rsid w:val="0069467C"/>
    <w:rsid w:val="006A5A36"/>
    <w:rsid w:val="006B74BB"/>
    <w:rsid w:val="006C39DA"/>
    <w:rsid w:val="006C42CC"/>
    <w:rsid w:val="006D51AC"/>
    <w:rsid w:val="006E1535"/>
    <w:rsid w:val="006F708C"/>
    <w:rsid w:val="007078D7"/>
    <w:rsid w:val="007107C4"/>
    <w:rsid w:val="00712ACD"/>
    <w:rsid w:val="00713ECE"/>
    <w:rsid w:val="00722ECF"/>
    <w:rsid w:val="00726AEF"/>
    <w:rsid w:val="007331A2"/>
    <w:rsid w:val="00734A07"/>
    <w:rsid w:val="00744632"/>
    <w:rsid w:val="0075138C"/>
    <w:rsid w:val="00752D6E"/>
    <w:rsid w:val="00754B62"/>
    <w:rsid w:val="00756395"/>
    <w:rsid w:val="00761D38"/>
    <w:rsid w:val="00764B63"/>
    <w:rsid w:val="0076569A"/>
    <w:rsid w:val="007A7BD7"/>
    <w:rsid w:val="007C4DB9"/>
    <w:rsid w:val="007C7EB4"/>
    <w:rsid w:val="007E3D43"/>
    <w:rsid w:val="007E7FC0"/>
    <w:rsid w:val="007F7FCB"/>
    <w:rsid w:val="00804EBA"/>
    <w:rsid w:val="00820800"/>
    <w:rsid w:val="008217E0"/>
    <w:rsid w:val="008319B6"/>
    <w:rsid w:val="008331B3"/>
    <w:rsid w:val="00857CE5"/>
    <w:rsid w:val="008733C7"/>
    <w:rsid w:val="00884874"/>
    <w:rsid w:val="0088645F"/>
    <w:rsid w:val="008A52BE"/>
    <w:rsid w:val="008A6139"/>
    <w:rsid w:val="008B58AF"/>
    <w:rsid w:val="009257EE"/>
    <w:rsid w:val="00926B1B"/>
    <w:rsid w:val="00937045"/>
    <w:rsid w:val="00943A70"/>
    <w:rsid w:val="009521E7"/>
    <w:rsid w:val="0097099F"/>
    <w:rsid w:val="00971DC5"/>
    <w:rsid w:val="00972F37"/>
    <w:rsid w:val="00980492"/>
    <w:rsid w:val="00997E67"/>
    <w:rsid w:val="009A09E0"/>
    <w:rsid w:val="009A3468"/>
    <w:rsid w:val="009A4232"/>
    <w:rsid w:val="009B1E8E"/>
    <w:rsid w:val="009E18A5"/>
    <w:rsid w:val="009E7C2D"/>
    <w:rsid w:val="00A1018F"/>
    <w:rsid w:val="00A12101"/>
    <w:rsid w:val="00A16E97"/>
    <w:rsid w:val="00A27681"/>
    <w:rsid w:val="00A304AC"/>
    <w:rsid w:val="00A30EE3"/>
    <w:rsid w:val="00A5082C"/>
    <w:rsid w:val="00A51D54"/>
    <w:rsid w:val="00A53306"/>
    <w:rsid w:val="00A622B1"/>
    <w:rsid w:val="00A62FF0"/>
    <w:rsid w:val="00A664E3"/>
    <w:rsid w:val="00A8172C"/>
    <w:rsid w:val="00AA28C5"/>
    <w:rsid w:val="00AC62F2"/>
    <w:rsid w:val="00AD3182"/>
    <w:rsid w:val="00AE4088"/>
    <w:rsid w:val="00AE4501"/>
    <w:rsid w:val="00B10038"/>
    <w:rsid w:val="00B12AB8"/>
    <w:rsid w:val="00B21CF0"/>
    <w:rsid w:val="00B50272"/>
    <w:rsid w:val="00B50F94"/>
    <w:rsid w:val="00B946BD"/>
    <w:rsid w:val="00BB0179"/>
    <w:rsid w:val="00BC1EA9"/>
    <w:rsid w:val="00BC3288"/>
    <w:rsid w:val="00BD45FB"/>
    <w:rsid w:val="00C0492C"/>
    <w:rsid w:val="00C067BB"/>
    <w:rsid w:val="00C07049"/>
    <w:rsid w:val="00C124D4"/>
    <w:rsid w:val="00C12943"/>
    <w:rsid w:val="00C13ABD"/>
    <w:rsid w:val="00C1578B"/>
    <w:rsid w:val="00C36B84"/>
    <w:rsid w:val="00C76EC7"/>
    <w:rsid w:val="00C83151"/>
    <w:rsid w:val="00CA4CD1"/>
    <w:rsid w:val="00CC601C"/>
    <w:rsid w:val="00CD0CBF"/>
    <w:rsid w:val="00CD2876"/>
    <w:rsid w:val="00CE07BE"/>
    <w:rsid w:val="00CE10A6"/>
    <w:rsid w:val="00D133B1"/>
    <w:rsid w:val="00D16E8C"/>
    <w:rsid w:val="00D26C3C"/>
    <w:rsid w:val="00D35544"/>
    <w:rsid w:val="00D400F0"/>
    <w:rsid w:val="00D45C0C"/>
    <w:rsid w:val="00D53384"/>
    <w:rsid w:val="00D66515"/>
    <w:rsid w:val="00D82186"/>
    <w:rsid w:val="00D90D49"/>
    <w:rsid w:val="00D92A31"/>
    <w:rsid w:val="00D97364"/>
    <w:rsid w:val="00DA795D"/>
    <w:rsid w:val="00DB138E"/>
    <w:rsid w:val="00DC069A"/>
    <w:rsid w:val="00DD3D01"/>
    <w:rsid w:val="00DF16FE"/>
    <w:rsid w:val="00E065BF"/>
    <w:rsid w:val="00E17A23"/>
    <w:rsid w:val="00E20B57"/>
    <w:rsid w:val="00E23768"/>
    <w:rsid w:val="00E30B0B"/>
    <w:rsid w:val="00E3654D"/>
    <w:rsid w:val="00E43EAE"/>
    <w:rsid w:val="00E44628"/>
    <w:rsid w:val="00E55432"/>
    <w:rsid w:val="00E60ED7"/>
    <w:rsid w:val="00E67E31"/>
    <w:rsid w:val="00E817B5"/>
    <w:rsid w:val="00E953FA"/>
    <w:rsid w:val="00E96712"/>
    <w:rsid w:val="00EB0280"/>
    <w:rsid w:val="00EB11F2"/>
    <w:rsid w:val="00EB1492"/>
    <w:rsid w:val="00EC6443"/>
    <w:rsid w:val="00EC7174"/>
    <w:rsid w:val="00EC74D8"/>
    <w:rsid w:val="00EE0FB0"/>
    <w:rsid w:val="00EE1693"/>
    <w:rsid w:val="00EE5E1C"/>
    <w:rsid w:val="00EF05C7"/>
    <w:rsid w:val="00EF21C4"/>
    <w:rsid w:val="00F0578E"/>
    <w:rsid w:val="00F12475"/>
    <w:rsid w:val="00F13713"/>
    <w:rsid w:val="00F21A45"/>
    <w:rsid w:val="00F44D40"/>
    <w:rsid w:val="00F527AE"/>
    <w:rsid w:val="00F65388"/>
    <w:rsid w:val="00F6667F"/>
    <w:rsid w:val="00F66B83"/>
    <w:rsid w:val="00F70671"/>
    <w:rsid w:val="00F70EF0"/>
    <w:rsid w:val="00F84120"/>
    <w:rsid w:val="00F90464"/>
    <w:rsid w:val="00FC1001"/>
    <w:rsid w:val="00FE4D35"/>
    <w:rsid w:val="00FF180F"/>
    <w:rsid w:val="00FF65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914D24"/>
  <w15:docId w15:val="{DAD0AA38-448A-444D-A766-86213EACB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Arial"/>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7C4"/>
    <w:rPr>
      <w:rFonts w:ascii="Trebuchet MS" w:hAnsi="Trebuchet MS" w:cs="Times New Roman"/>
      <w:sz w:val="24"/>
      <w:szCs w:val="24"/>
      <w:lang w:val="en-IE"/>
    </w:rPr>
  </w:style>
  <w:style w:type="paragraph" w:styleId="Heading2">
    <w:name w:val="heading 2"/>
    <w:basedOn w:val="Normal"/>
    <w:next w:val="Normal"/>
    <w:link w:val="Heading2Char"/>
    <w:uiPriority w:val="99"/>
    <w:qFormat/>
    <w:rsid w:val="007107C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7107C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7107C4"/>
    <w:rPr>
      <w:rFonts w:ascii="Arial" w:hAnsi="Arial" w:cs="Arial"/>
      <w:b/>
      <w:bCs/>
      <w:i/>
      <w:iCs/>
      <w:sz w:val="28"/>
      <w:szCs w:val="28"/>
      <w:lang w:val="en-US" w:eastAsia="en-US"/>
    </w:rPr>
  </w:style>
  <w:style w:type="character" w:customStyle="1" w:styleId="Heading3Char">
    <w:name w:val="Heading 3 Char"/>
    <w:basedOn w:val="DefaultParagraphFont"/>
    <w:link w:val="Heading3"/>
    <w:uiPriority w:val="99"/>
    <w:locked/>
    <w:rsid w:val="007107C4"/>
    <w:rPr>
      <w:rFonts w:ascii="Arial" w:hAnsi="Arial" w:cs="Arial"/>
      <w:b/>
      <w:bCs/>
      <w:sz w:val="26"/>
      <w:szCs w:val="26"/>
      <w:lang w:val="en-US" w:eastAsia="en-US"/>
    </w:rPr>
  </w:style>
  <w:style w:type="character" w:customStyle="1" w:styleId="CharChar2">
    <w:name w:val="Char Char2"/>
    <w:uiPriority w:val="99"/>
    <w:locked/>
    <w:rsid w:val="007107C4"/>
    <w:rPr>
      <w:rFonts w:ascii="Calibri Light" w:eastAsia="SimSun" w:hAnsi="Calibri Light"/>
      <w:color w:val="2E74B5"/>
      <w:sz w:val="32"/>
      <w:lang w:val="en-GB" w:eastAsia="zh-CN"/>
    </w:rPr>
  </w:style>
  <w:style w:type="paragraph" w:styleId="Header">
    <w:name w:val="header"/>
    <w:basedOn w:val="Normal"/>
    <w:link w:val="HeaderChar"/>
    <w:uiPriority w:val="99"/>
    <w:unhideWhenUsed/>
    <w:rsid w:val="00997E67"/>
    <w:pPr>
      <w:tabs>
        <w:tab w:val="center" w:pos="4513"/>
        <w:tab w:val="right" w:pos="9026"/>
      </w:tabs>
    </w:pPr>
  </w:style>
  <w:style w:type="character" w:customStyle="1" w:styleId="HeaderChar">
    <w:name w:val="Header Char"/>
    <w:basedOn w:val="DefaultParagraphFont"/>
    <w:link w:val="Header"/>
    <w:uiPriority w:val="99"/>
    <w:rsid w:val="00997E67"/>
    <w:rPr>
      <w:rFonts w:ascii="Trebuchet MS" w:hAnsi="Trebuchet MS" w:cs="Times New Roman"/>
      <w:sz w:val="24"/>
      <w:szCs w:val="24"/>
    </w:rPr>
  </w:style>
  <w:style w:type="paragraph" w:styleId="Footer">
    <w:name w:val="footer"/>
    <w:basedOn w:val="Normal"/>
    <w:link w:val="FooterChar"/>
    <w:uiPriority w:val="99"/>
    <w:unhideWhenUsed/>
    <w:rsid w:val="00997E67"/>
    <w:pPr>
      <w:tabs>
        <w:tab w:val="center" w:pos="4513"/>
        <w:tab w:val="right" w:pos="9026"/>
      </w:tabs>
    </w:pPr>
  </w:style>
  <w:style w:type="character" w:customStyle="1" w:styleId="FooterChar">
    <w:name w:val="Footer Char"/>
    <w:basedOn w:val="DefaultParagraphFont"/>
    <w:link w:val="Footer"/>
    <w:uiPriority w:val="99"/>
    <w:rsid w:val="00997E67"/>
    <w:rPr>
      <w:rFonts w:ascii="Trebuchet MS" w:hAnsi="Trebuchet MS" w:cs="Times New Roman"/>
      <w:sz w:val="24"/>
      <w:szCs w:val="24"/>
    </w:rPr>
  </w:style>
  <w:style w:type="table" w:styleId="TableGrid">
    <w:name w:val="Table Grid"/>
    <w:basedOn w:val="TableNormal"/>
    <w:locked/>
    <w:rsid w:val="00C76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1C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CF0"/>
    <w:rPr>
      <w:rFonts w:ascii="Segoe UI" w:hAnsi="Segoe UI" w:cs="Segoe UI"/>
      <w:sz w:val="18"/>
      <w:szCs w:val="18"/>
    </w:rPr>
  </w:style>
  <w:style w:type="character" w:styleId="CommentReference">
    <w:name w:val="annotation reference"/>
    <w:basedOn w:val="DefaultParagraphFont"/>
    <w:uiPriority w:val="99"/>
    <w:semiHidden/>
    <w:unhideWhenUsed/>
    <w:rsid w:val="00734A07"/>
    <w:rPr>
      <w:sz w:val="16"/>
      <w:szCs w:val="16"/>
    </w:rPr>
  </w:style>
  <w:style w:type="paragraph" w:styleId="CommentText">
    <w:name w:val="annotation text"/>
    <w:basedOn w:val="Normal"/>
    <w:link w:val="CommentTextChar"/>
    <w:uiPriority w:val="99"/>
    <w:semiHidden/>
    <w:unhideWhenUsed/>
    <w:rsid w:val="00734A07"/>
    <w:rPr>
      <w:sz w:val="20"/>
      <w:szCs w:val="20"/>
    </w:rPr>
  </w:style>
  <w:style w:type="character" w:customStyle="1" w:styleId="CommentTextChar">
    <w:name w:val="Comment Text Char"/>
    <w:basedOn w:val="DefaultParagraphFont"/>
    <w:link w:val="CommentText"/>
    <w:uiPriority w:val="99"/>
    <w:semiHidden/>
    <w:rsid w:val="00734A07"/>
    <w:rPr>
      <w:rFonts w:ascii="Trebuchet MS" w:hAnsi="Trebuchet MS" w:cs="Times New Roman"/>
      <w:sz w:val="20"/>
      <w:szCs w:val="20"/>
    </w:rPr>
  </w:style>
  <w:style w:type="paragraph" w:styleId="CommentSubject">
    <w:name w:val="annotation subject"/>
    <w:basedOn w:val="CommentText"/>
    <w:next w:val="CommentText"/>
    <w:link w:val="CommentSubjectChar"/>
    <w:uiPriority w:val="99"/>
    <w:semiHidden/>
    <w:unhideWhenUsed/>
    <w:rsid w:val="00734A07"/>
    <w:rPr>
      <w:b/>
      <w:bCs/>
    </w:rPr>
  </w:style>
  <w:style w:type="character" w:customStyle="1" w:styleId="CommentSubjectChar">
    <w:name w:val="Comment Subject Char"/>
    <w:basedOn w:val="CommentTextChar"/>
    <w:link w:val="CommentSubject"/>
    <w:uiPriority w:val="99"/>
    <w:semiHidden/>
    <w:rsid w:val="00734A07"/>
    <w:rPr>
      <w:rFonts w:ascii="Trebuchet MS" w:hAnsi="Trebuchet MS" w:cs="Times New Roman"/>
      <w:b/>
      <w:bCs/>
      <w:sz w:val="20"/>
      <w:szCs w:val="20"/>
    </w:rPr>
  </w:style>
  <w:style w:type="character" w:styleId="Hyperlink">
    <w:name w:val="Hyperlink"/>
    <w:basedOn w:val="DefaultParagraphFont"/>
    <w:uiPriority w:val="99"/>
    <w:unhideWhenUsed/>
    <w:rsid w:val="00C0492C"/>
    <w:rPr>
      <w:color w:val="0000FF" w:themeColor="hyperlink"/>
      <w:u w:val="single"/>
    </w:rPr>
  </w:style>
  <w:style w:type="paragraph" w:customStyle="1" w:styleId="PLATE-Abstract">
    <w:name w:val="PLATE - Abstract"/>
    <w:basedOn w:val="Normal"/>
    <w:link w:val="PLATE-AbstractZchn"/>
    <w:qFormat/>
    <w:rsid w:val="00F0578E"/>
    <w:pPr>
      <w:spacing w:before="240"/>
      <w:jc w:val="both"/>
    </w:pPr>
    <w:rPr>
      <w:rFonts w:ascii="Arial" w:hAnsi="Arial" w:cs="Arial"/>
      <w:sz w:val="20"/>
      <w:szCs w:val="20"/>
    </w:rPr>
  </w:style>
  <w:style w:type="paragraph" w:customStyle="1" w:styleId="PLATE-References">
    <w:name w:val="PLATE - References"/>
    <w:basedOn w:val="Normal"/>
    <w:link w:val="PLATE-ReferencesZchn"/>
    <w:qFormat/>
    <w:rsid w:val="00AA28C5"/>
    <w:pPr>
      <w:ind w:left="113" w:hanging="113"/>
      <w:jc w:val="both"/>
    </w:pPr>
    <w:rPr>
      <w:rFonts w:ascii="Arial" w:hAnsi="Arial" w:cs="Arial"/>
      <w:sz w:val="18"/>
      <w:szCs w:val="18"/>
      <w:lang w:val="de-DE"/>
    </w:rPr>
  </w:style>
  <w:style w:type="character" w:customStyle="1" w:styleId="PLATE-AbstractZchn">
    <w:name w:val="PLATE - Abstract Zchn"/>
    <w:basedOn w:val="DefaultParagraphFont"/>
    <w:link w:val="PLATE-Abstract"/>
    <w:rsid w:val="00F0578E"/>
    <w:rPr>
      <w:rFonts w:ascii="Arial" w:hAnsi="Arial"/>
      <w:sz w:val="20"/>
      <w:szCs w:val="20"/>
    </w:rPr>
  </w:style>
  <w:style w:type="paragraph" w:customStyle="1" w:styleId="PLATE-PaperTitle">
    <w:name w:val="PLATE - Paper Title"/>
    <w:basedOn w:val="Normal"/>
    <w:link w:val="PLATE-PaperTitleZchn"/>
    <w:qFormat/>
    <w:rsid w:val="00AA28C5"/>
    <w:rPr>
      <w:rFonts w:ascii="Arial" w:hAnsi="Arial" w:cs="Arial"/>
      <w:b/>
      <w:bCs/>
      <w:color w:val="006666"/>
      <w:sz w:val="28"/>
      <w:szCs w:val="28"/>
    </w:rPr>
  </w:style>
  <w:style w:type="character" w:customStyle="1" w:styleId="PLATE-ReferencesZchn">
    <w:name w:val="PLATE - References Zchn"/>
    <w:basedOn w:val="DefaultParagraphFont"/>
    <w:link w:val="PLATE-References"/>
    <w:rsid w:val="00AA28C5"/>
    <w:rPr>
      <w:rFonts w:ascii="Arial" w:hAnsi="Arial"/>
      <w:sz w:val="18"/>
      <w:szCs w:val="18"/>
      <w:lang w:val="de-DE"/>
    </w:rPr>
  </w:style>
  <w:style w:type="paragraph" w:customStyle="1" w:styleId="PLATE-Author">
    <w:name w:val="PLATE - Author"/>
    <w:basedOn w:val="Heading2"/>
    <w:link w:val="PLATE-AuthorZchn"/>
    <w:qFormat/>
    <w:rsid w:val="008A52BE"/>
    <w:pPr>
      <w:spacing w:before="0" w:after="0"/>
      <w:jc w:val="both"/>
    </w:pPr>
    <w:rPr>
      <w:i w:val="0"/>
      <w:iCs w:val="0"/>
      <w:sz w:val="20"/>
      <w:szCs w:val="20"/>
      <w:lang w:val="en-GB"/>
    </w:rPr>
  </w:style>
  <w:style w:type="character" w:customStyle="1" w:styleId="PLATE-PaperTitleZchn">
    <w:name w:val="PLATE - Paper Title Zchn"/>
    <w:basedOn w:val="DefaultParagraphFont"/>
    <w:link w:val="PLATE-PaperTitle"/>
    <w:rsid w:val="00AA28C5"/>
    <w:rPr>
      <w:rFonts w:ascii="Arial" w:hAnsi="Arial"/>
      <w:b/>
      <w:bCs/>
      <w:color w:val="006666"/>
      <w:sz w:val="28"/>
      <w:szCs w:val="28"/>
    </w:rPr>
  </w:style>
  <w:style w:type="character" w:customStyle="1" w:styleId="PLATE-AuthorZchn">
    <w:name w:val="PLATE - Author Zchn"/>
    <w:basedOn w:val="Heading2Char"/>
    <w:link w:val="PLATE-Author"/>
    <w:rsid w:val="008A52BE"/>
    <w:rPr>
      <w:rFonts w:ascii="Arial" w:hAnsi="Arial" w:cs="Arial"/>
      <w:b/>
      <w:bCs/>
      <w:i w:val="0"/>
      <w:iCs w:val="0"/>
      <w:sz w:val="20"/>
      <w:szCs w:val="20"/>
      <w:lang w:val="en-GB" w:eastAsia="en-US"/>
    </w:rPr>
  </w:style>
  <w:style w:type="paragraph" w:customStyle="1" w:styleId="PLATE-Text">
    <w:name w:val="PLATE - Text"/>
    <w:basedOn w:val="Normal"/>
    <w:link w:val="PLATE-TextZchn"/>
    <w:qFormat/>
    <w:rsid w:val="001A763E"/>
    <w:pPr>
      <w:jc w:val="both"/>
    </w:pPr>
    <w:rPr>
      <w:rFonts w:ascii="Arial" w:hAnsi="Arial"/>
      <w:sz w:val="20"/>
    </w:rPr>
  </w:style>
  <w:style w:type="paragraph" w:customStyle="1" w:styleId="PLATE-Subtitle1">
    <w:name w:val="PLATE - Subtitle 1"/>
    <w:basedOn w:val="Normal"/>
    <w:link w:val="PLATE-Subtitle1Zchn"/>
    <w:qFormat/>
    <w:rsid w:val="003B600B"/>
    <w:pPr>
      <w:jc w:val="both"/>
    </w:pPr>
    <w:rPr>
      <w:rFonts w:ascii="Arial" w:hAnsi="Arial" w:cs="Arial"/>
      <w:b/>
      <w:bCs/>
    </w:rPr>
  </w:style>
  <w:style w:type="character" w:customStyle="1" w:styleId="PLATE-TextZchn">
    <w:name w:val="PLATE - Text Zchn"/>
    <w:basedOn w:val="DefaultParagraphFont"/>
    <w:link w:val="PLATE-Text"/>
    <w:rsid w:val="001A763E"/>
    <w:rPr>
      <w:rFonts w:ascii="Arial" w:hAnsi="Arial" w:cs="Times New Roman"/>
      <w:sz w:val="20"/>
      <w:szCs w:val="24"/>
    </w:rPr>
  </w:style>
  <w:style w:type="paragraph" w:customStyle="1" w:styleId="PLATE-Subtitle2">
    <w:name w:val="PLATE - Subtitle 2"/>
    <w:basedOn w:val="Normal"/>
    <w:link w:val="PLATE-Subtitle2Zchn"/>
    <w:qFormat/>
    <w:rsid w:val="003B600B"/>
    <w:pPr>
      <w:jc w:val="both"/>
    </w:pPr>
    <w:rPr>
      <w:rFonts w:ascii="Arial" w:hAnsi="Arial" w:cs="Arial"/>
      <w:i/>
      <w:iCs/>
      <w:sz w:val="22"/>
      <w:szCs w:val="22"/>
    </w:rPr>
  </w:style>
  <w:style w:type="character" w:customStyle="1" w:styleId="PLATE-Subtitle1Zchn">
    <w:name w:val="PLATE - Subtitle 1 Zchn"/>
    <w:basedOn w:val="DefaultParagraphFont"/>
    <w:link w:val="PLATE-Subtitle1"/>
    <w:rsid w:val="003B600B"/>
    <w:rPr>
      <w:rFonts w:ascii="Arial" w:hAnsi="Arial"/>
      <w:b/>
      <w:bCs/>
      <w:sz w:val="24"/>
      <w:szCs w:val="24"/>
    </w:rPr>
  </w:style>
  <w:style w:type="paragraph" w:customStyle="1" w:styleId="PLATE-Caption">
    <w:name w:val="PLATE - Caption"/>
    <w:aliases w:val="Figure,Table Description"/>
    <w:basedOn w:val="Normal"/>
    <w:link w:val="PLATE-CaptionZchn"/>
    <w:qFormat/>
    <w:rsid w:val="003B600B"/>
    <w:pPr>
      <w:jc w:val="both"/>
    </w:pPr>
    <w:rPr>
      <w:rFonts w:ascii="Arial" w:hAnsi="Arial" w:cs="Arial"/>
      <w:b/>
      <w:bCs/>
      <w:sz w:val="18"/>
      <w:szCs w:val="18"/>
      <w:lang w:val="fr-FR"/>
    </w:rPr>
  </w:style>
  <w:style w:type="character" w:customStyle="1" w:styleId="PLATE-Subtitle2Zchn">
    <w:name w:val="PLATE - Subtitle 2 Zchn"/>
    <w:basedOn w:val="DefaultParagraphFont"/>
    <w:link w:val="PLATE-Subtitle2"/>
    <w:rsid w:val="003B600B"/>
    <w:rPr>
      <w:rFonts w:ascii="Arial" w:hAnsi="Arial"/>
      <w:i/>
      <w:iCs/>
    </w:rPr>
  </w:style>
  <w:style w:type="character" w:customStyle="1" w:styleId="PLATE-CaptionZchn">
    <w:name w:val="PLATE - Caption Zchn"/>
    <w:aliases w:val="Figure Zchn,Table Description Zchn"/>
    <w:basedOn w:val="DefaultParagraphFont"/>
    <w:link w:val="PLATE-Caption"/>
    <w:rsid w:val="003B600B"/>
    <w:rPr>
      <w:rFonts w:ascii="Arial" w:hAnsi="Arial"/>
      <w:b/>
      <w:bCs/>
      <w:sz w:val="18"/>
      <w:szCs w:val="18"/>
      <w:lang w:val="fr-FR"/>
    </w:rPr>
  </w:style>
  <w:style w:type="character" w:customStyle="1" w:styleId="UnresolvedMention1">
    <w:name w:val="Unresolved Mention1"/>
    <w:basedOn w:val="DefaultParagraphFont"/>
    <w:uiPriority w:val="99"/>
    <w:semiHidden/>
    <w:unhideWhenUsed/>
    <w:rsid w:val="00025D53"/>
    <w:rPr>
      <w:color w:val="605E5C"/>
      <w:shd w:val="clear" w:color="auto" w:fill="E1DFDD"/>
    </w:rPr>
  </w:style>
  <w:style w:type="character" w:styleId="FollowedHyperlink">
    <w:name w:val="FollowedHyperlink"/>
    <w:basedOn w:val="DefaultParagraphFont"/>
    <w:uiPriority w:val="99"/>
    <w:semiHidden/>
    <w:unhideWhenUsed/>
    <w:rsid w:val="00D82186"/>
    <w:rPr>
      <w:color w:val="800080" w:themeColor="followedHyperlink"/>
      <w:u w:val="single"/>
    </w:rPr>
  </w:style>
  <w:style w:type="character" w:customStyle="1" w:styleId="UnresolvedMention2">
    <w:name w:val="Unresolved Mention2"/>
    <w:basedOn w:val="DefaultParagraphFont"/>
    <w:uiPriority w:val="99"/>
    <w:semiHidden/>
    <w:unhideWhenUsed/>
    <w:rsid w:val="00D82186"/>
    <w:rPr>
      <w:color w:val="605E5C"/>
      <w:shd w:val="clear" w:color="auto" w:fill="E1DFDD"/>
    </w:rPr>
  </w:style>
  <w:style w:type="paragraph" w:styleId="ListParagraph">
    <w:name w:val="List Paragraph"/>
    <w:basedOn w:val="Normal"/>
    <w:uiPriority w:val="34"/>
    <w:qFormat/>
    <w:rsid w:val="00423202"/>
    <w:pPr>
      <w:ind w:left="720"/>
      <w:contextualSpacing/>
    </w:pPr>
  </w:style>
  <w:style w:type="paragraph" w:styleId="Revision">
    <w:name w:val="Revision"/>
    <w:hidden/>
    <w:uiPriority w:val="99"/>
    <w:semiHidden/>
    <w:rsid w:val="00601374"/>
    <w:rPr>
      <w:rFonts w:ascii="Trebuchet MS" w:hAnsi="Trebuchet MS" w:cs="Times New Roman"/>
      <w:sz w:val="24"/>
      <w:szCs w:val="24"/>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21812">
      <w:bodyDiv w:val="1"/>
      <w:marLeft w:val="0"/>
      <w:marRight w:val="0"/>
      <w:marTop w:val="0"/>
      <w:marBottom w:val="0"/>
      <w:divBdr>
        <w:top w:val="none" w:sz="0" w:space="0" w:color="auto"/>
        <w:left w:val="none" w:sz="0" w:space="0" w:color="auto"/>
        <w:bottom w:val="none" w:sz="0" w:space="0" w:color="auto"/>
        <w:right w:val="none" w:sz="0" w:space="0" w:color="auto"/>
      </w:divBdr>
    </w:div>
    <w:div w:id="655376914">
      <w:bodyDiv w:val="1"/>
      <w:marLeft w:val="0"/>
      <w:marRight w:val="0"/>
      <w:marTop w:val="0"/>
      <w:marBottom w:val="0"/>
      <w:divBdr>
        <w:top w:val="none" w:sz="0" w:space="0" w:color="auto"/>
        <w:left w:val="none" w:sz="0" w:space="0" w:color="auto"/>
        <w:bottom w:val="none" w:sz="0" w:space="0" w:color="auto"/>
        <w:right w:val="none" w:sz="0" w:space="0" w:color="auto"/>
      </w:divBdr>
      <w:divsChild>
        <w:div w:id="732042489">
          <w:marLeft w:val="0"/>
          <w:marRight w:val="0"/>
          <w:marTop w:val="0"/>
          <w:marBottom w:val="0"/>
          <w:divBdr>
            <w:top w:val="none" w:sz="0" w:space="0" w:color="auto"/>
            <w:left w:val="none" w:sz="0" w:space="0" w:color="auto"/>
            <w:bottom w:val="none" w:sz="0" w:space="0" w:color="auto"/>
            <w:right w:val="none" w:sz="0" w:space="0" w:color="auto"/>
          </w:divBdr>
          <w:divsChild>
            <w:div w:id="1824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6507">
      <w:bodyDiv w:val="1"/>
      <w:marLeft w:val="0"/>
      <w:marRight w:val="0"/>
      <w:marTop w:val="0"/>
      <w:marBottom w:val="0"/>
      <w:divBdr>
        <w:top w:val="none" w:sz="0" w:space="0" w:color="auto"/>
        <w:left w:val="none" w:sz="0" w:space="0" w:color="auto"/>
        <w:bottom w:val="none" w:sz="0" w:space="0" w:color="auto"/>
        <w:right w:val="none" w:sz="0" w:space="0" w:color="auto"/>
      </w:divBdr>
    </w:div>
    <w:div w:id="684790238">
      <w:bodyDiv w:val="1"/>
      <w:marLeft w:val="0"/>
      <w:marRight w:val="0"/>
      <w:marTop w:val="0"/>
      <w:marBottom w:val="0"/>
      <w:divBdr>
        <w:top w:val="none" w:sz="0" w:space="0" w:color="auto"/>
        <w:left w:val="none" w:sz="0" w:space="0" w:color="auto"/>
        <w:bottom w:val="none" w:sz="0" w:space="0" w:color="auto"/>
        <w:right w:val="none" w:sz="0" w:space="0" w:color="auto"/>
      </w:divBdr>
    </w:div>
    <w:div w:id="1077753251">
      <w:bodyDiv w:val="1"/>
      <w:marLeft w:val="0"/>
      <w:marRight w:val="0"/>
      <w:marTop w:val="0"/>
      <w:marBottom w:val="0"/>
      <w:divBdr>
        <w:top w:val="none" w:sz="0" w:space="0" w:color="auto"/>
        <w:left w:val="none" w:sz="0" w:space="0" w:color="auto"/>
        <w:bottom w:val="none" w:sz="0" w:space="0" w:color="auto"/>
        <w:right w:val="none" w:sz="0" w:space="0" w:color="auto"/>
      </w:divBdr>
    </w:div>
    <w:div w:id="1126655942">
      <w:bodyDiv w:val="1"/>
      <w:marLeft w:val="0"/>
      <w:marRight w:val="0"/>
      <w:marTop w:val="0"/>
      <w:marBottom w:val="0"/>
      <w:divBdr>
        <w:top w:val="none" w:sz="0" w:space="0" w:color="auto"/>
        <w:left w:val="none" w:sz="0" w:space="0" w:color="auto"/>
        <w:bottom w:val="none" w:sz="0" w:space="0" w:color="auto"/>
        <w:right w:val="none" w:sz="0" w:space="0" w:color="auto"/>
      </w:divBdr>
    </w:div>
    <w:div w:id="1213688888">
      <w:bodyDiv w:val="1"/>
      <w:marLeft w:val="0"/>
      <w:marRight w:val="0"/>
      <w:marTop w:val="0"/>
      <w:marBottom w:val="0"/>
      <w:divBdr>
        <w:top w:val="none" w:sz="0" w:space="0" w:color="auto"/>
        <w:left w:val="none" w:sz="0" w:space="0" w:color="auto"/>
        <w:bottom w:val="none" w:sz="0" w:space="0" w:color="auto"/>
        <w:right w:val="none" w:sz="0" w:space="0" w:color="auto"/>
      </w:divBdr>
    </w:div>
    <w:div w:id="1216619232">
      <w:bodyDiv w:val="1"/>
      <w:marLeft w:val="0"/>
      <w:marRight w:val="0"/>
      <w:marTop w:val="0"/>
      <w:marBottom w:val="0"/>
      <w:divBdr>
        <w:top w:val="none" w:sz="0" w:space="0" w:color="auto"/>
        <w:left w:val="none" w:sz="0" w:space="0" w:color="auto"/>
        <w:bottom w:val="none" w:sz="0" w:space="0" w:color="auto"/>
        <w:right w:val="none" w:sz="0" w:space="0" w:color="auto"/>
      </w:divBdr>
      <w:divsChild>
        <w:div w:id="1940943738">
          <w:marLeft w:val="446"/>
          <w:marRight w:val="0"/>
          <w:marTop w:val="86"/>
          <w:marBottom w:val="0"/>
          <w:divBdr>
            <w:top w:val="none" w:sz="0" w:space="0" w:color="auto"/>
            <w:left w:val="none" w:sz="0" w:space="0" w:color="auto"/>
            <w:bottom w:val="none" w:sz="0" w:space="0" w:color="auto"/>
            <w:right w:val="none" w:sz="0" w:space="0" w:color="auto"/>
          </w:divBdr>
        </w:div>
      </w:divsChild>
    </w:div>
    <w:div w:id="1249653069">
      <w:bodyDiv w:val="1"/>
      <w:marLeft w:val="0"/>
      <w:marRight w:val="0"/>
      <w:marTop w:val="0"/>
      <w:marBottom w:val="0"/>
      <w:divBdr>
        <w:top w:val="none" w:sz="0" w:space="0" w:color="auto"/>
        <w:left w:val="none" w:sz="0" w:space="0" w:color="auto"/>
        <w:bottom w:val="none" w:sz="0" w:space="0" w:color="auto"/>
        <w:right w:val="none" w:sz="0" w:space="0" w:color="auto"/>
      </w:divBdr>
    </w:div>
    <w:div w:id="1326861379">
      <w:bodyDiv w:val="1"/>
      <w:marLeft w:val="0"/>
      <w:marRight w:val="0"/>
      <w:marTop w:val="0"/>
      <w:marBottom w:val="0"/>
      <w:divBdr>
        <w:top w:val="none" w:sz="0" w:space="0" w:color="auto"/>
        <w:left w:val="none" w:sz="0" w:space="0" w:color="auto"/>
        <w:bottom w:val="none" w:sz="0" w:space="0" w:color="auto"/>
        <w:right w:val="none" w:sz="0" w:space="0" w:color="auto"/>
      </w:divBdr>
    </w:div>
    <w:div w:id="1655138433">
      <w:bodyDiv w:val="1"/>
      <w:marLeft w:val="0"/>
      <w:marRight w:val="0"/>
      <w:marTop w:val="0"/>
      <w:marBottom w:val="0"/>
      <w:divBdr>
        <w:top w:val="none" w:sz="0" w:space="0" w:color="auto"/>
        <w:left w:val="none" w:sz="0" w:space="0" w:color="auto"/>
        <w:bottom w:val="none" w:sz="0" w:space="0" w:color="auto"/>
        <w:right w:val="none" w:sz="0" w:space="0" w:color="auto"/>
      </w:divBdr>
    </w:div>
    <w:div w:id="1833374716">
      <w:bodyDiv w:val="1"/>
      <w:marLeft w:val="0"/>
      <w:marRight w:val="0"/>
      <w:marTop w:val="0"/>
      <w:marBottom w:val="0"/>
      <w:divBdr>
        <w:top w:val="none" w:sz="0" w:space="0" w:color="auto"/>
        <w:left w:val="none" w:sz="0" w:space="0" w:color="auto"/>
        <w:bottom w:val="none" w:sz="0" w:space="0" w:color="auto"/>
        <w:right w:val="none" w:sz="0" w:space="0" w:color="auto"/>
      </w:divBdr>
    </w:div>
    <w:div w:id="189893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ur-lex.europa.eu/legal-content/EN/TXT/?uri=CELEX:52015DC0614" TargetMode="External"/><Relationship Id="rId1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ec.europa.eu/environment/strategy/circular-economy-action-plan_en" TargetMode="External"/><Relationship Id="rId17" Type="http://schemas.openxmlformats.org/officeDocument/2006/relationships/hyperlink" Target="https://ctc-cork.ie/wp-content/uploads/2019/04/Q2-Summary-Report.pdf" TargetMode="External"/><Relationship Id="rId2" Type="http://schemas.openxmlformats.org/officeDocument/2006/relationships/styles" Target="styles.xml"/><Relationship Id="rId16" Type="http://schemas.openxmlformats.org/officeDocument/2006/relationships/hyperlink" Target="http://www.epa.ie/pubs/reports/research/waste/Research_Report_241.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ata.consilium.europa.eu/doc/document/PE-11-2018-REV-2/en/pdf" TargetMode="External"/><Relationship Id="rId5" Type="http://schemas.openxmlformats.org/officeDocument/2006/relationships/footnotes" Target="footnotes.xml"/><Relationship Id="rId15" Type="http://schemas.openxmlformats.org/officeDocument/2006/relationships/hyperlink" Target="https://op.europa.eu/en/publication-detail/-/publication/9878e12a-1bc4-11ea-8c1f-01aa75ed71a1"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data.consilium.europa.eu/doc/document/PE-11-2018-REV-2/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8</Pages>
  <Words>3633</Words>
  <Characters>20713</Characters>
  <Application>Microsoft Office Word</Application>
  <DocSecurity>0</DocSecurity>
  <Lines>172</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Nottingham Trent University</Company>
  <LinksUpToDate>false</LinksUpToDate>
  <CharactersWithSpaces>24298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Braithwaite, Naomi 02</dc:creator>
  <cp:lastModifiedBy>Keelin Tobin</cp:lastModifiedBy>
  <cp:revision>5</cp:revision>
  <cp:lastPrinted>2017-02-27T09:43:00Z</cp:lastPrinted>
  <dcterms:created xsi:type="dcterms:W3CDTF">2021-04-21T08:49:00Z</dcterms:created>
  <dcterms:modified xsi:type="dcterms:W3CDTF">2021-04-21T09:16:00Z</dcterms:modified>
</cp:coreProperties>
</file>